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3912235</wp:posOffset>
            </wp:positionH>
            <wp:positionV relativeFrom="paragraph">
              <wp:posOffset>-605790</wp:posOffset>
            </wp:positionV>
            <wp:extent cx="57150" cy="61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643890</wp:posOffset>
            </wp:positionV>
            <wp:extent cx="7048500" cy="4267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26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Khare Bhisham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 w:line="3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C/O AERIES TECHNOLOGY, INC. 60 PAYA LEBAR ROAD, #08-13 PAYA LEBAR SQUARE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Aeries Technology,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AERT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720" w:firstLine="7"/>
        <w:spacing w:after="0" w:line="285" w:lineRule="auto"/>
        <w:tabs>
          <w:tab w:leader="none" w:pos="13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520"/>
            <w:col w:w="3107" w:space="720"/>
            <w:col w:w="3353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SINGAPORE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U0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409051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 Line)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05/28/2026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05/28/2026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05/28/2036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Award granted prior to Issuer implementing a 1-for-8 Share Consolidation effective June 12, 2026. Number of Share Options and Exercise Price reflect post-Share Consolidation adjustments.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Bhisham Khare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06/30/2026</w:t>
            </w: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99214" TargetMode="External"/><Relationship Id="rId14" Type="http://schemas.openxmlformats.org/officeDocument/2006/relationships/hyperlink" Target="http://www.sec.gov/cgi-bin/browse-edgar?action=getcompany&amp;CIK=0001853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2026-06-30T20:31:32Z</dcterms:created>
  <dcterms:modified xsi:type="dcterms:W3CDTF">2026-06-30T20:31:32Z</dcterms:modified>
</cp:coreProperties>
</file>