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aeriestech_8k.htm"/>
      <w:bookmarkStart w:id="1" w:name="ksaeriestech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C_edei--DocumentType_c20260810__20"/>
      <w:bookmarkEnd w:id="2"/>
      <w:r>
        <w:rPr>
          <w:rFonts w:ascii="Times New Roman;Times;Serif" w:hAnsi="Times New Roman;Times;Serif"/>
          <w:b/>
          <w:i w:val="false"/>
          <w:caps w:val="false"/>
          <w:smallCaps w:val="false"/>
          <w:sz w:val="28"/>
        </w:rPr>
        <w:t>8-K</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br/>
        <w:t>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val="false"/>
          <w:i w:val="false"/>
          <w:caps w:val="false"/>
          <w:smallCaps w:val="false"/>
          <w:sz w:val="20"/>
        </w:rPr>
        <w:t>August 10, 2026</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bookmarkStart w:id="4" w:name="xdx_90B_edei--EntityRegistrantName_c2026"/>
      <w:bookmarkEnd w:id="4"/>
      <w:r>
        <w:rPr>
          <w:rFonts w:ascii="Times New Roman;Times;Serif" w:hAnsi="Times New Roman;Times;Serif"/>
          <w:b/>
          <w:i w:val="false"/>
          <w:caps w:val="false"/>
          <w:smallCaps w:val="false"/>
          <w:sz w:val="28"/>
        </w:rPr>
        <w:t>Aeries Technology,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tbl>
      <w:tblPr>
        <w:tblW w:w="5160" w:type="dxa"/>
        <w:jc w:val="left"/>
        <w:tblInd w:w="0" w:type="dxa"/>
        <w:tblLayout w:type="fixed"/>
        <w:tblCellMar>
          <w:top w:w="0" w:type="dxa"/>
          <w:left w:w="0" w:type="dxa"/>
          <w:bottom w:w="28" w:type="dxa"/>
          <w:right w:w="0" w:type="dxa"/>
        </w:tblCellMar>
      </w:tblPr>
      <w:tblGrid>
        <w:gridCol w:w="2165"/>
        <w:gridCol w:w="60"/>
        <w:gridCol w:w="1100"/>
        <w:gridCol w:w="60"/>
        <w:gridCol w:w="1775"/>
      </w:tblGrid>
      <w:tr>
        <w:trPr/>
        <w:tc>
          <w:tcPr>
            <w:tcW w:w="2165" w:type="dxa"/>
            <w:tcBorders>
              <w:bottom w:val="single" w:sz="8" w:space="0" w:color="000000"/>
            </w:tcBorders>
            <w:vAlign w:val="center"/>
          </w:tcPr>
          <w:p>
            <w:pPr>
              <w:pStyle w:val="TableContents"/>
              <w:bidi w:val="0"/>
              <w:spacing w:before="0" w:after="283"/>
              <w:jc w:val="center"/>
              <w:rPr>
                <w:b/>
              </w:rPr>
            </w:pPr>
            <w:bookmarkStart w:id="5" w:name="xdx_90F_edei--EntityIncorporationStateCo"/>
            <w:bookmarkEnd w:id="5"/>
            <w:r>
              <w:rPr>
                <w:b/>
              </w:rPr>
              <w:t>Cayman Islands</w:t>
            </w:r>
          </w:p>
        </w:tc>
        <w:tc>
          <w:tcPr>
            <w:tcW w:w="60" w:type="dxa"/>
            <w:tcBorders/>
            <w:tcMar>
              <w:bottom w:w="0" w:type="dxa"/>
            </w:tcMar>
            <w:vAlign w:val="center"/>
          </w:tcPr>
          <w:p>
            <w:pPr>
              <w:pStyle w:val="TableContents"/>
              <w:bidi w:val="0"/>
              <w:spacing w:before="0" w:after="283"/>
              <w:jc w:val="center"/>
              <w:rPr/>
            </w:pPr>
            <w:r>
              <w:rPr/>
              <w:t> </w:t>
            </w:r>
          </w:p>
        </w:tc>
        <w:tc>
          <w:tcPr>
            <w:tcW w:w="1100" w:type="dxa"/>
            <w:tcBorders>
              <w:bottom w:val="single" w:sz="8" w:space="0" w:color="000000"/>
            </w:tcBorders>
            <w:vAlign w:val="center"/>
          </w:tcPr>
          <w:p>
            <w:pPr>
              <w:pStyle w:val="TableContents"/>
              <w:bidi w:val="0"/>
              <w:spacing w:before="0" w:after="283"/>
              <w:jc w:val="center"/>
              <w:rPr>
                <w:b/>
              </w:rPr>
            </w:pPr>
            <w:bookmarkStart w:id="6" w:name="xdx_902_edei--EntityFileNumber_c20260810"/>
            <w:bookmarkEnd w:id="6"/>
            <w:r>
              <w:rPr>
                <w:b/>
              </w:rPr>
              <w:t>001-40920</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8" w:space="0" w:color="000000"/>
            </w:tcBorders>
            <w:vAlign w:val="center"/>
          </w:tcPr>
          <w:p>
            <w:pPr>
              <w:pStyle w:val="TableContents"/>
              <w:bidi w:val="0"/>
              <w:spacing w:before="0" w:after="283"/>
              <w:jc w:val="center"/>
              <w:rPr>
                <w:b/>
              </w:rPr>
            </w:pPr>
            <w:bookmarkStart w:id="7" w:name="xdx_907_edei--EntityTaxIdentificationNum"/>
            <w:bookmarkEnd w:id="7"/>
            <w:r>
              <w:rPr>
                <w:b/>
              </w:rPr>
              <w:t>98-1587626</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75" w:type="dxa"/>
            <w:tcBorders/>
            <w:tcMar>
              <w:bottom w:w="0"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(IRS Employer</w:t>
              <w:br/>
              <w:t>Identification No.)</w:t>
            </w:r>
          </w:p>
        </w:tc>
      </w:tr>
    </w:tbl>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60 Paya Lebar Road, </w:t>
            </w:r>
            <w:bookmarkStart w:id="9" w:name="xdx_900_edei--EntityAddressAddressLine2_"/>
            <w:bookmarkEnd w:id="9"/>
            <w:r>
              <w:rPr>
                <w:rFonts w:ascii="Times New Roman;Times;Serif" w:hAnsi="Times New Roman;Times;Serif"/>
                <w:b/>
                <w:i w:val="false"/>
                <w:caps w:val="false"/>
                <w:smallCaps w:val="false"/>
                <w:sz w:val="20"/>
              </w:rPr>
              <w:t>#08-13</w:t>
            </w:r>
          </w:p>
          <w:p>
            <w:pPr>
              <w:pStyle w:val="TableContents"/>
              <w:bidi w:val="0"/>
              <w:spacing w:before="0" w:after="283"/>
              <w:jc w:val="center"/>
              <w:rPr>
                <w:rFonts w:ascii="Times New Roman;Times;Serif" w:hAnsi="Times New Roman;Times;Serif"/>
                <w:b/>
                <w:i w:val="false"/>
                <w:caps w:val="false"/>
                <w:smallCaps w:val="false"/>
                <w:sz w:val="20"/>
              </w:rPr>
            </w:pPr>
            <w:bookmarkStart w:id="10" w:name="xdx_900_edei--EntityAddressAddressLine3_"/>
            <w:bookmarkEnd w:id="10"/>
            <w:r>
              <w:rPr>
                <w:rFonts w:ascii="Times New Roman;Times;Serif" w:hAnsi="Times New Roman;Times;Serif"/>
                <w:b/>
                <w:i w:val="false"/>
                <w:caps w:val="false"/>
                <w:smallCaps w:val="false"/>
                <w:sz w:val="20"/>
              </w:rPr>
              <w:t>Paya Lebar Square</w:t>
              <w:br/>
            </w:r>
            <w:bookmarkStart w:id="11" w:name="xdx_906_edei--EntityAddressCountry_c2026"/>
            <w:bookmarkStart w:id="12" w:name="xdx_903_edei--EntityAddressCityOrTown_c2"/>
            <w:bookmarkEnd w:id="11"/>
            <w:bookmarkEnd w:id="12"/>
            <w:r>
              <w:rPr>
                <w:rFonts w:ascii="Times New Roman;Times;Serif" w:hAnsi="Times New Roman;Times;Serif"/>
                <w:b/>
                <w:i w:val="false"/>
                <w:caps w:val="false"/>
                <w:smallCaps w:val="false"/>
                <w:sz w:val="20"/>
              </w:rPr>
              <w:t>Singapore</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8" w:space="0" w:color="000000"/>
            </w:tcBorders>
            <w:vAlign w:val="center"/>
          </w:tcPr>
          <w:p>
            <w:pPr>
              <w:pStyle w:val="TableContents"/>
              <w:bidi w:val="0"/>
              <w:spacing w:before="0" w:after="283"/>
              <w:jc w:val="center"/>
              <w:rPr>
                <w:b/>
              </w:rPr>
            </w:pPr>
            <w:bookmarkStart w:id="13" w:name="xdx_904_edei--EntityAddressPostalZipCode"/>
            <w:bookmarkEnd w:id="13"/>
            <w:r>
              <w:rPr>
                <w:b/>
              </w:rPr>
              <w:t>409051</w:t>
            </w:r>
          </w:p>
        </w:tc>
      </w:tr>
      <w:tr>
        <w:trPr/>
        <w:tc>
          <w:tcPr>
            <w:tcW w:w="3755" w:type="dxa"/>
            <w:tcBorders/>
            <w:tcMar>
              <w:bottom w:w="0"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85" w:type="dxa"/>
            <w:tcBorders/>
            <w:tcMar>
              <w:bottom w:w="0"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(Zip Code)</w:t>
            </w:r>
          </w:p>
        </w:tc>
      </w:tr>
    </w:tbl>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4" w:name="xdx_901_edei--CityAreaCode_c20260810__20"/>
      <w:bookmarkEnd w:id="14"/>
      <w:r>
        <w:rPr>
          <w:rFonts w:ascii="Times New Roman;Times;Serif" w:hAnsi="Times New Roman;Times;Serif"/>
          <w:b w:val="false"/>
          <w:i w:val="false"/>
          <w:caps w:val="false"/>
          <w:smallCaps w:val="false"/>
          <w:sz w:val="20"/>
        </w:rPr>
        <w:t xml:space="preserve">(919) </w:t>
      </w:r>
      <w:bookmarkStart w:id="15" w:name="xdx_901_edei--LocalPhoneNumber_c20260810"/>
      <w:bookmarkEnd w:id="15"/>
      <w:r>
        <w:rPr>
          <w:rFonts w:ascii="Times New Roman;Times;Serif" w:hAnsi="Times New Roman;Times;Serif"/>
          <w:b w:val="false"/>
          <w:i w:val="false"/>
          <w:caps w:val="false"/>
          <w:smallCaps w:val="false"/>
          <w:sz w:val="20"/>
        </w:rPr>
        <w:t>228-6404</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w:t>
      </w:r>
    </w:p>
    <w:p>
      <w:pPr>
        <w:pStyle w:val="TextBody"/>
        <w:bidi w:val="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6" w:name="xdx_901_edei--WrittenCommunications_c202"/>
            <w:bookmarkEnd w:id="16"/>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B_edei--SolicitingMaterial_c202608"/>
            <w:bookmarkEnd w:id="17"/>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E_edei--PreCommencementTenderOffer"/>
            <w:bookmarkEnd w:id="18"/>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7_edei--PreCommencementIssuerTende"/>
            <w:bookmarkEnd w:id="19"/>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446"/>
        <w:gridCol w:w="60"/>
        <w:gridCol w:w="1211"/>
        <w:gridCol w:w="60"/>
        <w:gridCol w:w="2428"/>
      </w:tblGrid>
      <w:tr>
        <w:trPr/>
        <w:tc>
          <w:tcPr>
            <w:tcW w:w="6446"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11"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28"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44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9_edei--Security12bTitle_c20260810"/>
            <w:bookmarkEnd w:id="20"/>
            <w:r>
              <w:rPr>
                <w:rFonts w:ascii="Times New Roman;Times;Serif" w:hAnsi="Times New Roman;Times;Serif"/>
                <w:b w:val="false"/>
                <w:i w:val="false"/>
                <w:caps w:val="false"/>
                <w:smallCaps w:val="false"/>
                <w:sz w:val="20"/>
              </w:rPr>
              <w:t>Class A ordinary shares, par value $0.0008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1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1_edei--TradingSymbol_c20260810__2"/>
            <w:bookmarkEnd w:id="21"/>
            <w:r>
              <w:rPr>
                <w:rFonts w:ascii="Times New Roman;Times;Serif" w:hAnsi="Times New Roman;Times;Serif"/>
                <w:b w:val="false"/>
                <w:i w:val="false"/>
                <w:caps w:val="false"/>
                <w:smallCaps w:val="false"/>
                <w:sz w:val="20"/>
              </w:rPr>
              <w:t>AERT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2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7_edei--SecurityExchangeName_c2026"/>
            <w:bookmarkEnd w:id="22"/>
            <w:r>
              <w:rPr>
                <w:rFonts w:ascii="Times New Roman;Times;Serif" w:hAnsi="Times New Roman;Times;Serif"/>
                <w:b w:val="false"/>
                <w:i w:val="false"/>
                <w:caps w:val="false"/>
                <w:smallCaps w:val="false"/>
                <w:sz w:val="20"/>
              </w:rPr>
              <w:t>Nasdaq Capital Market</w:t>
            </w:r>
          </w:p>
        </w:tc>
      </w:tr>
      <w:tr>
        <w:trPr/>
        <w:tc>
          <w:tcPr>
            <w:tcW w:w="644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4_edei--Security12bTitle_c20260810"/>
            <w:bookmarkEnd w:id="23"/>
            <w:r>
              <w:rPr>
                <w:rFonts w:ascii="Times New Roman;Times;Serif" w:hAnsi="Times New Roman;Times;Serif"/>
                <w:b w:val="false"/>
                <w:i w:val="false"/>
                <w:caps w:val="false"/>
                <w:smallCaps w:val="false"/>
                <w:sz w:val="20"/>
              </w:rPr>
              <w:t>Redeemable warrants, each whole warrant exercisable in multiples of eight to purchase one Class A ordinary share for $92.00 per share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1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A_edei--TradingSymbol_c20260810__2"/>
            <w:bookmarkEnd w:id="24"/>
            <w:r>
              <w:rPr>
                <w:rFonts w:ascii="Times New Roman;Times;Serif" w:hAnsi="Times New Roman;Times;Serif"/>
                <w:b w:val="false"/>
                <w:i w:val="false"/>
                <w:caps w:val="false"/>
                <w:smallCaps w:val="false"/>
                <w:sz w:val="20"/>
              </w:rPr>
              <w:t>AERTW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2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 w:name="xdx_901_edei--SecurityExchangeName_c2026"/>
            <w:bookmarkEnd w:id="25"/>
            <w:r>
              <w:rPr>
                <w:rFonts w:ascii="Times New Roman;Times;Serif" w:hAnsi="Times New Roman;Times;Serif"/>
                <w:b w:val="false"/>
                <w:i w:val="false"/>
                <w:caps w:val="false"/>
                <w:smallCaps w:val="false"/>
                <w:sz w:val="20"/>
              </w:rPr>
              <w:t>Nasdaq Capital Market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6" w:name="xdx_904_edei--EntityEmergingGrowthCompan"/>
      <w:bookmarkEnd w:id="26"/>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7" w:name="xdx_901_edei--EntityExTransitionPeriod_c"/>
      <w:bookmarkEnd w:id="27"/>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875"/>
        <w:gridCol w:w="3935"/>
      </w:tblGrid>
      <w:tr>
        <w:trPr/>
        <w:tc>
          <w:tcPr>
            <w:tcW w:w="875" w:type="dxa"/>
            <w:tcBorders/>
            <w:vAlign w:val="center"/>
          </w:tcPr>
          <w:p>
            <w:pPr>
              <w:pStyle w:val="TableContents"/>
              <w:bidi w:val="0"/>
              <w:spacing w:before="0" w:after="283"/>
              <w:jc w:val="left"/>
              <w:rPr>
                <w:b/>
                <w:sz w:val="20"/>
              </w:rPr>
            </w:pPr>
            <w:r>
              <w:rPr>
                <w:b/>
                <w:sz w:val="20"/>
              </w:rPr>
              <w:t>Item 2.02.</w:t>
            </w:r>
          </w:p>
        </w:tc>
        <w:tc>
          <w:tcPr>
            <w:tcW w:w="3935" w:type="dxa"/>
            <w:tcBorders/>
            <w:vAlign w:val="center"/>
          </w:tcPr>
          <w:p>
            <w:pPr>
              <w:pStyle w:val="TableContents"/>
              <w:bidi w:val="0"/>
              <w:spacing w:before="0" w:after="283"/>
              <w:jc w:val="both"/>
              <w:rPr>
                <w:b/>
                <w:sz w:val="20"/>
              </w:rPr>
            </w:pPr>
            <w:r>
              <w:rPr>
                <w:b/>
                <w:sz w:val="20"/>
              </w:rPr>
              <w:t>Results of Operations and Financial Condition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Aeries Technology, Inc. (the “Company”) issued a press release containing its financial results for the quarter ended June 30, 2026. A copy of the press release is attached hereto as Exhibit 99.1 and is incorporated herein by reference. The Company filed its Quarterly Report on Form 10-Q for the quarter ended June 30, 2026 on August 10, 2026.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and the exhibits attached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ind w:left="0" w:right="0" w:firstLine="72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283"/>
        <w:jc w:val="left"/>
        <w:rPr/>
      </w:pPr>
      <w:r>
        <w:rPr/>
        <w:t> </w:t>
      </w:r>
    </w:p>
    <w:tbl>
      <w:tblPr>
        <w:tblW w:w="1008" w:type="dxa"/>
        <w:jc w:val="left"/>
        <w:tblInd w:w="0" w:type="dxa"/>
        <w:tblLayout w:type="fixed"/>
        <w:tblCellMar>
          <w:top w:w="0" w:type="dxa"/>
          <w:left w:w="0" w:type="dxa"/>
          <w:bottom w:w="0" w:type="dxa"/>
          <w:right w:w="0" w:type="dxa"/>
        </w:tblCellMar>
      </w:tblPr>
      <w:tblGrid>
        <w:gridCol w:w="38"/>
        <w:gridCol w:w="245"/>
        <w:gridCol w:w="7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w:t>
            </w:r>
          </w:p>
        </w:tc>
      </w:tr>
    </w:tbl>
    <w:p>
      <w:pPr>
        <w:pStyle w:val="TextBody"/>
        <w:bidi w:val="0"/>
        <w:spacing w:before="0" w:after="283"/>
        <w:jc w:val="left"/>
        <w:rPr/>
      </w:pPr>
      <w:r>
        <w:rPr/>
        <w:t> </w:t>
      </w:r>
    </w:p>
    <w:tbl>
      <w:tblPr>
        <w:tblW w:w="7540" w:type="dxa"/>
        <w:jc w:val="left"/>
        <w:tblInd w:w="0" w:type="dxa"/>
        <w:shd w:fill="FFFFFF" w:val="clear"/>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both"/>
              <w:rPr/>
            </w:pPr>
            <w:hyperlink w:anchor="aeriestech_ex99-1.htm">
              <w:r>
                <w:rPr>
                  <w:rStyle w:val="InternetLink"/>
                  <w:rFonts w:ascii="Times New Roman;Times;Serif" w:hAnsi="Times New Roman;Times;Serif"/>
                  <w:sz w:val="20"/>
                </w:rPr>
                <w:t>Press Release dated August 10, 2026</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left"/>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1850"/>
        <w:gridCol w:w="320"/>
        <w:gridCol w:w="3020"/>
      </w:tblGrid>
      <w:tr>
        <w:trPr/>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33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Aeries Technology, Inc.</w:t>
            </w:r>
          </w:p>
        </w:tc>
      </w:tr>
      <w:tr>
        <w:trPr/>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33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Cayman Islands exempted company</w:t>
            </w:r>
          </w:p>
        </w:tc>
      </w:tr>
      <w:tr>
        <w:trPr/>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33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10,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Bhisham (Ajay) Khare</w:t>
            </w:r>
          </w:p>
        </w:tc>
      </w:tr>
      <w:tr>
        <w:trPr/>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Bhisham (Ajay) Khare</w:t>
            </w:r>
          </w:p>
        </w:tc>
      </w:tr>
      <w:tr>
        <w:trPr/>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 and Director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jc w:val="left"/>
        <w:rPr>
          <w:caps w:val="false"/>
          <w:smallCaps w:val="false"/>
        </w:rPr>
      </w:pPr>
      <w:bookmarkStart w:id="28" w:name="aeriestech_ex99-1.htm"/>
      <w:bookmarkStart w:id="29" w:name="ksaeriestech_ex991"/>
      <w:bookmarkEnd w:id="28"/>
      <w:bookmarkEnd w:id="29"/>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Aeries Technology Reports Strong Results for April - June 2026 Quarter</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increased 43% year over year to $21.9 million, with income from operations of $3.4 million, Net income of $2.2 million, and operating cash flow of $4.8 million.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Reaffirms Fiscal Year 2027 guidance of $80 million to $84 million in revenue and $10 million to $12 million in Adjusted EBITDA.</w:t>
            </w:r>
          </w:p>
        </w:tc>
      </w:tr>
    </w:tbl>
    <w:p>
      <w:pPr>
        <w:pStyle w:val="TextBody"/>
        <w:bidi w:val="0"/>
        <w:spacing w:before="0" w:after="0"/>
        <w:jc w:val="left"/>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38"/>
        <w:gridCol w:w="17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Expands AI transformation strategy with the launch of AxAI, an Agentic AI solution offering.</w:t>
            </w:r>
          </w:p>
        </w:tc>
      </w:tr>
    </w:tbl>
    <w:p>
      <w:pPr>
        <w:pStyle w:val="TextBody"/>
        <w:bidi w:val="0"/>
        <w:spacing w:before="0" w:after="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Aug. 10, 2026</w:t>
      </w:r>
      <w:r>
        <w:rPr>
          <w:rFonts w:ascii="Times New Roman;Times;Serif" w:hAnsi="Times New Roman;Times;Serif"/>
          <w:b w:val="false"/>
          <w:i w:val="false"/>
          <w:caps w:val="false"/>
          <w:smallCaps w:val="false"/>
          <w:sz w:val="20"/>
        </w:rPr>
        <w:t xml:space="preserve"> (GLOBE NEWSWIRE) — Aeries Technology, Inc. (Nasdaq: AERT), a global provider of AI transformation and enterprise operations solutions, today announced financial results for the quarter ended June 30, 2026 (Q1, FY2027).</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delivered a strong first quarter, reporting </w:t>
      </w:r>
      <w:r>
        <w:rPr>
          <w:rFonts w:ascii="Times New Roman;Times;Serif" w:hAnsi="Times New Roman;Times;Serif"/>
          <w:b/>
          <w:i w:val="false"/>
          <w:caps w:val="false"/>
          <w:smallCaps w:val="false"/>
          <w:sz w:val="20"/>
        </w:rPr>
        <w:t>43% year-over-year revenue growth</w:t>
      </w:r>
      <w:r>
        <w:rPr>
          <w:rFonts w:ascii="Times New Roman;Times;Serif" w:hAnsi="Times New Roman;Times;Serif"/>
          <w:b w:val="false"/>
          <w:i w:val="false"/>
          <w:caps w:val="false"/>
          <w:smallCaps w:val="false"/>
          <w:sz w:val="20"/>
        </w:rPr>
        <w:t xml:space="preserve"> to </w:t>
      </w:r>
      <w:r>
        <w:rPr>
          <w:rFonts w:ascii="Times New Roman;Times;Serif" w:hAnsi="Times New Roman;Times;Serif"/>
          <w:b/>
          <w:i w:val="false"/>
          <w:caps w:val="false"/>
          <w:smallCaps w:val="false"/>
          <w:sz w:val="20"/>
        </w:rPr>
        <w:t>$21.9 million</w:t>
      </w:r>
      <w:r>
        <w:rPr>
          <w:rFonts w:ascii="Times New Roman;Times;Serif" w:hAnsi="Times New Roman;Times;Serif"/>
          <w:b w:val="false"/>
          <w:i w:val="false"/>
          <w:caps w:val="false"/>
          <w:smallCaps w:val="false"/>
          <w:sz w:val="20"/>
        </w:rPr>
        <w:t>, significant improvements in profitability and cash generation, and continued operating discipline. During the quarter, Aeries continued advancing its AI transformation and enterprise operations strategy, expanding its capabilities to help enterprises create long-term value through AI-enabled business transformation and managed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Fiscal 2027 Financial Highlights</w:t>
      </w:r>
    </w:p>
    <w:p>
      <w:pPr>
        <w:pStyle w:val="TextBody"/>
        <w:bidi w:val="0"/>
        <w:jc w:val="left"/>
        <w:rPr>
          <w:caps w:val="false"/>
          <w:smallCaps w:val="false"/>
        </w:rPr>
      </w:pPr>
      <w:r>
        <w:rPr>
          <w:caps w:val="false"/>
          <w:smallCaps w:val="false"/>
        </w:rPr>
        <w:t> </w:t>
      </w:r>
    </w:p>
    <w:tbl>
      <w:tblPr>
        <w:tblW w:w="5943" w:type="dxa"/>
        <w:jc w:val="left"/>
        <w:tblInd w:w="0" w:type="dxa"/>
        <w:tblLayout w:type="fixed"/>
        <w:tblCellMar>
          <w:top w:w="0" w:type="dxa"/>
          <w:left w:w="0" w:type="dxa"/>
          <w:bottom w:w="0" w:type="dxa"/>
          <w:right w:w="0" w:type="dxa"/>
        </w:tblCellMar>
      </w:tblPr>
      <w:tblGrid>
        <w:gridCol w:w="38"/>
        <w:gridCol w:w="17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b/>
              </w:rPr>
            </w:pPr>
            <w:r>
              <w:rPr>
                <w:b/>
              </w:rPr>
              <w:t>Revenue increased 43% year over year to $21.9 million*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SG&amp;A expenses remained well controlled</w:t>
            </w:r>
            <w:r>
              <w:rPr/>
              <w:t>, increasing 2% to $3.0 million, while improving to 13.8% of revenue from 19.3% in the prior-year quarter.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Income from operations increased more than fourfold</w:t>
            </w:r>
            <w:r>
              <w:rPr/>
              <w:t> to $3.4 million*, from $0.8 million in the prior-year quarter.</w:t>
            </w:r>
          </w:p>
        </w:tc>
      </w:tr>
    </w:tbl>
    <w:p>
      <w:pPr>
        <w:pStyle w:val="TextBody"/>
        <w:bidi w:val="0"/>
        <w:jc w:val="left"/>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38"/>
        <w:gridCol w:w="170"/>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pPr>
            <w:r>
              <w:rPr>
                <w:b/>
              </w:rPr>
              <w:t>Net income increased</w:t>
            </w:r>
            <w:r>
              <w:rPr/>
              <w:t> to $2.2 million, compared to $1.7 million in the prior-year quarter.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Adjusted EBITDA increased nearly fourfold</w:t>
            </w:r>
            <w:r>
              <w:rPr/>
              <w:t> to $4.1 million, with Adjusted EBITDA margin expanding to 18.6%* from 6.7% in the prior-year quarter.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 xml:space="preserve">Operating cash flow increased more than threefold </w:t>
            </w:r>
            <w:r>
              <w:rPr/>
              <w:t>to $4.8 million, with cash and cash equivalents increasing to $6.1 million as of June 30, 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i/>
              </w:rPr>
            </w:pPr>
            <w:r>
              <w:rPr>
                <w:i/>
              </w:rPr>
              <w:t>The previously disclosed customer buyout was recognized as revenue during the quarter and contributed $2.7 million to the Company’s revenue and profitability.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Geographic Revenue Mix</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from North America increased to </w:t>
      </w:r>
      <w:r>
        <w:rPr>
          <w:rFonts w:ascii="Times New Roman;Times;Serif" w:hAnsi="Times New Roman;Times;Serif"/>
          <w:b/>
          <w:i w:val="false"/>
          <w:caps w:val="false"/>
          <w:smallCaps w:val="false"/>
          <w:sz w:val="20"/>
        </w:rPr>
        <w:t>$18.6 million in the first quarter of fiscal 2027 from $13.4 million</w:t>
      </w:r>
      <w:r>
        <w:rPr>
          <w:rFonts w:ascii="Times New Roman;Times;Serif" w:hAnsi="Times New Roman;Times;Serif"/>
          <w:b w:val="false"/>
          <w:i w:val="false"/>
          <w:caps w:val="false"/>
          <w:smallCaps w:val="false"/>
          <w:sz w:val="20"/>
        </w:rPr>
        <w:t xml:space="preserve"> in the first quarter of fiscal 2026. Revenue from Asia Pacific and Other increased to </w:t>
      </w:r>
      <w:r>
        <w:rPr>
          <w:rFonts w:ascii="Times New Roman;Times;Serif" w:hAnsi="Times New Roman;Times;Serif"/>
          <w:b/>
          <w:i w:val="false"/>
          <w:caps w:val="false"/>
          <w:smallCaps w:val="false"/>
          <w:sz w:val="20"/>
        </w:rPr>
        <w:t>$3.3 million from $1.9 million</w:t>
      </w:r>
      <w:r>
        <w:rPr>
          <w:rFonts w:ascii="Times New Roman;Times;Serif" w:hAnsi="Times New Roman;Times;Serif"/>
          <w:b w:val="false"/>
          <w:i w:val="false"/>
          <w:caps w:val="false"/>
          <w:smallCaps w:val="false"/>
          <w:sz w:val="20"/>
        </w:rPr>
        <w:t> in the prior-year quarter.</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Outlook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reaffirmed its fiscal year 2027 guidance:</w:t>
      </w:r>
    </w:p>
    <w:p>
      <w:pPr>
        <w:pStyle w:val="TextBody"/>
        <w:bidi w:val="0"/>
        <w:jc w:val="left"/>
        <w:rPr>
          <w:caps w:val="false"/>
          <w:smallCaps w:val="false"/>
        </w:rPr>
      </w:pPr>
      <w:r>
        <w:rPr>
          <w:caps w:val="false"/>
          <w:smallCaps w:val="false"/>
        </w:rPr>
        <w:t> </w:t>
      </w:r>
    </w:p>
    <w:tbl>
      <w:tblPr>
        <w:tblW w:w="4818" w:type="dxa"/>
        <w:jc w:val="left"/>
        <w:tblInd w:w="0" w:type="dxa"/>
        <w:tblLayout w:type="fixed"/>
        <w:tblCellMar>
          <w:top w:w="0" w:type="dxa"/>
          <w:left w:w="0" w:type="dxa"/>
          <w:bottom w:w="0" w:type="dxa"/>
          <w:right w:w="0" w:type="dxa"/>
        </w:tblCellMar>
      </w:tblPr>
      <w:tblGrid>
        <w:gridCol w:w="38"/>
        <w:gridCol w:w="17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both"/>
              <w:rPr>
                <w:b/>
              </w:rPr>
            </w:pPr>
            <w:r>
              <w:rPr>
                <w:b/>
              </w:rPr>
              <w:t>Revenue between $80 million and $84 million</w:t>
            </w:r>
          </w:p>
        </w:tc>
      </w:tr>
    </w:tbl>
    <w:p>
      <w:pPr>
        <w:pStyle w:val="TextBody"/>
        <w:bidi w:val="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7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b/>
              </w:rPr>
            </w:pPr>
            <w:r>
              <w:rPr>
                <w:b/>
              </w:rPr>
              <w:t>Adjusted EBITDA between $10 million and $12 million</w:t>
            </w:r>
          </w:p>
        </w:tc>
      </w:tr>
    </w:tbl>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This was an outstanding quarter for Aeries,” said </w:t>
      </w:r>
      <w:r>
        <w:rPr>
          <w:rFonts w:ascii="Times New Roman;Times;Serif" w:hAnsi="Times New Roman;Times;Serif"/>
          <w:b/>
          <w:i w:val="false"/>
          <w:caps w:val="false"/>
          <w:smallCaps w:val="false"/>
          <w:sz w:val="20"/>
        </w:rPr>
        <w:t>Ajay Khare, Chief Executive Officer of Aeries Technology</w:t>
      </w:r>
      <w:r>
        <w:rPr>
          <w:rFonts w:ascii="Times New Roman;Times;Serif" w:hAnsi="Times New Roman;Times;Serif"/>
          <w:b w:val="false"/>
          <w:i w:val="false"/>
          <w:caps w:val="false"/>
          <w:smallCaps w:val="false"/>
          <w:sz w:val="20"/>
        </w:rPr>
        <w:t>. “Revenue increased 43% year over year to $21.9 million, income from operations increased more than fourfold to $3.4 million, Adjusted EBITDA nearly quadrupled to $4.1 million, and operating cash flow more than tripled to $4.8 million. These results reflect the disciplined operating model we have built over the past year and our ability to translate growth into stronger profitability and cash generation.”</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Just as importantly, our business continues to evolve. Clients increasingly engage Aeries to help transform enterprise operations through AI. We believe AI transformation will become one of the most significant drivers of enterprise value creation over the coming decade, and we are positioning Aeries as the partner enterprises can rely on to help realize that opportunity. The launch of AxAI, our agentic AI solution offering, marks an important milestone in that journey. Together with AeriesOne, our AI-native enterprise operations platform, we now provide an integrated capability that helps enterprises assess, build, deploy, and operate AI solutions at scale. By combining AI innovation with managed operations, we help clients move from AI experimentation to production, creating measurable business outcomes and long-term enterprise value.”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Progress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Aeries continued expanding its client engagements beyond managed operations to include AI transformation, enterprise operations, automation and optimization initiatives. This reflects the Company’s continued evolution into an AI transformation and enterprise operations provider, helping enterprises create long-term value through AI-enabled business transformation.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4, 2026, Aeries launched AxAI, its agentic AI solution offering built around its Forward Deployed Engineering (FDE) model, expanding its capabilities across the enterprise AI lifecycle. Together with </w:t>
      </w:r>
      <w:r>
        <w:rPr>
          <w:rFonts w:ascii="Times New Roman;Times;Serif" w:hAnsi="Times New Roman;Times;Serif"/>
          <w:b/>
          <w:i w:val="false"/>
          <w:caps w:val="false"/>
          <w:smallCaps w:val="false"/>
          <w:sz w:val="20"/>
        </w:rPr>
        <w:t>AeriesOne</w:t>
      </w:r>
      <w:r>
        <w:rPr>
          <w:rFonts w:ascii="Times New Roman;Times;Serif" w:hAnsi="Times New Roman;Times;Serif"/>
          <w:b w:val="false"/>
          <w:i w:val="false"/>
          <w:caps w:val="false"/>
          <w:smallCaps w:val="false"/>
          <w:sz w:val="20"/>
        </w:rPr>
        <w:t>, the Company’s AI-native enterprise operations platform, AxAI extends Aeries’ ability to help enterprises design, deploy, and operate production-ready AI solutions while strengthening its AI transformation portfolio. This integrated approach supports customers across the AI lifecycle, from strategy and engineering to deployment, governance and managed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Allocation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strong operating cash flow enabled it to continue executing its disciplined capital allocation strategy during the quarter. In addition to strengthening the balance sheet and continuing to settle legacy obligations associated with its business combination transaction and related costs, the Company repurchased more than 10% of its outstanding common stock, reflecting management’s confidence in the Company’s long-term strategy and future growth prospects. The Company also completed its previously announced 1-for-8 share consolidation during the quarter.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Aeries Technology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Aeries Technology, Inc. (Nasdaq: AERT) helps organizations worldwide create enterprise value through AI transformation and managed operations. Through its portfolio, including AxAI and AeriesOne, Aeries combines AI innovation, engineering expertise, business process knowledge, and managed global operations to help customers transform business functions and improve operational performance.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Founded in 2012, Aeries serves global enterprises through delivery centers in India and Mexico. For more information, visit </w:t>
      </w:r>
      <w:r>
        <w:rPr>
          <w:rFonts w:ascii="Times New Roman;Times;Serif" w:hAnsi="Times New Roman;Times;Serif"/>
          <w:b/>
          <w:i w:val="false"/>
          <w:caps w:val="false"/>
          <w:smallCaps w:val="false"/>
          <w:sz w:val="20"/>
        </w:rPr>
        <w:t>www.aeriestechnology.com</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 conference call to discuss its financial results on Monday, August 10, 2026, at 8 AM ET. The call will be accessible by telephone at 1-877-407-0792 (domestic) or 1-201-689-8263 (international). The call transcript will also be available on the Company’s investor relations website at https://ir.aeriestechnology.com/.</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non-GAAP financial information and believes it is useful to investors because it provides additional information to facilitate comparisons of historical operating results, identify trends in its underlying operating results, and provide additional insight and transparency into how it evaluates the business. The Company uses non-GAAP financial measures to budget, make operating and strategic decisions, and evaluate its performance. The Company has detailed the non-GAAP adjustments it makes in the non-GAAP definitions below. These adjustments generally fall within the categories of non-cash items. The Company believes the non-GAAP measures presented herein should always be considered alongside, and not as a substitute for or superior to, the related GAAP financial measures. In addition, similarly titled items used by other companies may not be comparable due to variations in how they are calculated and how terms are defined. For further information, see “Reconciliation of Non-GAAP Financial Measures” below, including the reconciliations of these non-GAAP measures to their most directly comparable GAAP financial measures. The Company defines Adjusted EBITDA as net income (loss) before interest, income taxes, depreciation, and amortization, further adjusted to exclude stock-based compensation, M&amp;A transaction-related costs, and changes in the fair value of derivative liabilities. Adjusted EBITDA is a key performance indicator the Company uses in evaluating its operating performance and in making financial, operating, and planning decisions. The Company believes this measure is useful to investors in evaluating Aeries’ operating performance, as such information is used by the Company’s management for internal reporting and planning procedures, including aspects of its consolidated operating budget and capital expenditures. Adjusted EBITDA has some limitations in that it does not reflect: (i) cash expenditures or future requirements for capital expenditures or contractual commitments; (ii) foreign exchange gains or losses; (iii) changes in, or cash requirements for, working capital; (iv) significant interest expense or the cash requirements necessary to service interest or principal payments on the Company’s outstanding debt; (v) payments made or future requirements for income taxes; (vi) cash requirements for future replacement or payment of depreciated or amortized assets; (vii) stock-based compensation costs; and (viii) changes in the fair value of derivative liabilities. The Company defines Adjusted EBITDA Margin as Adjusted EBITDA divided by Revenue. The Company does not provide a reconciliation of forward-looking non-GAAP financial measures to the most directly comparable financial measures calculated and reported in accordance with GAAP, as the Company is unable to estimate significant non-recurring or unusual items without unreasonable effort. The amounts and timing of these items are uncertain and could be material to the Company’s results calculated in accordance with GAAP.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in this release that are not based on historical fact are “forward-looking statements” within the meaning of the Private Securities Litigation Reform Act of 1995 and the provisions of Section 27A of the Securities Act of 1933, as amended, and Section 21E of the Securities Exchange Act of 1934, as amended. Words such as “anticipate,” “believe,” “continue,” “could,” “estimate”, “expect”, “hope”, “intend”, “may”, “might”, “should”, “would”, “will”, “understand” and similar words are intended to identify forward-looking statements. These forward-looking statements include but are not limited to statements regarding our future operating results, outlook, guidance and financial position, our business strategy and plans, our objectives for future operations, potential acquisitions and macroeconomic trends. While management has based any forward-looking statements included in this release on its current expectations, the information on which such expectations were based may change. These forward-looking statements rely on a number of assumptions concerning future events and are subject to a number of risks, uncertainties and other factors, many of which are outside of the control of Aeries and its subsidiaries, which could cause actual results to materially differ from such statements. Such risks, uncertainties, and other factors include, but are not limited to: our ability to continue as a going concern; our ability to retain and expand our client base; changes in the business, market, financial, political and legal conditions in India, Singapore, the United States, Mexico, the Cayman Islands and other countries, including developments with respect to inflation, interest rates and the global supply chain, including with respect to economic and geopolitical uncertainty in many markets around the world, the potential of decelerating global economic growth and increased volatility in foreign currency exchange rates; the potential for our business development efforts to maximize our potential value; the ability to</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the listing of our Class A ordinary shares and our public warrants on Nasdaq, and the potential liquidity and trading of our securities; changes in applicable laws or regulations and other regulatory developments in the United States, India, Singapore, Mexico, the Cayman Islands and other countries; our ability to maintain effective internal controls; our success in retaining or recruiting, or changes required in, our officers, key employees or directors; our financial performance; our ability to make acquisitions, divestments or form joint ventures or otherwise make investments and the ability to successfully complete such transactions and integrate with our business; the period over which we anticipate our existing cash and cash equivalents will be sufficient to fund our operating expenses and capital expenditure requirements; geopolitical instability, armed conflicts, trade restrictions, tariffs and other international events that may adversely affect global economic conditions, customer spending and business operations, and any restrictive actions that have been or may be taken by the U.S. and/or other countries in response thereto, such as sanctions or export controls; risks related to cybersecurity and data privacy; the impact of inflation; and the fluctuation of economic conditions, inflation and other global events on Aeries’ results of operations and global supply chain constraints. Further information on risks, uncertainties and other factors that could affect our financial results are included in Aeries’ periodic and current reports filed with the U.S. Securities and Exchange Commission. Furthermore, Aeries operates in a highly competitive and rapidly changing environment where new and unanticipated risks may arise. Accordingly, investors should not place any reliance on forward-looking statements as a prediction of actual results. The forward-looking statements contained in this release are made as of the date hereof and Aeries disclaims any intention to, and undertakes no obligation to, update or revise 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IR@aeriestechnology.com</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INCOME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percentages)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58"/>
        <w:gridCol w:w="60"/>
        <w:gridCol w:w="148"/>
        <w:gridCol w:w="723"/>
        <w:gridCol w:w="276"/>
        <w:gridCol w:w="63"/>
        <w:gridCol w:w="148"/>
        <w:gridCol w:w="723"/>
        <w:gridCol w:w="260"/>
        <w:gridCol w:w="60"/>
        <w:gridCol w:w="179"/>
        <w:gridCol w:w="816"/>
        <w:gridCol w:w="95"/>
        <w:gridCol w:w="60"/>
        <w:gridCol w:w="96"/>
        <w:gridCol w:w="1019"/>
        <w:gridCol w:w="321"/>
      </w:tblGrid>
      <w:tr>
        <w:trPr/>
        <w:tc>
          <w:tcPr>
            <w:tcW w:w="51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8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9" w:type="dxa"/>
            <w:tcBorders/>
            <w:vAlign w:val="center"/>
          </w:tcPr>
          <w:p>
            <w:pPr>
              <w:pStyle w:val="TableContents"/>
              <w:bidi w:val="0"/>
              <w:spacing w:before="0" w:after="283"/>
              <w:jc w:val="center"/>
              <w:rPr/>
            </w:pPr>
            <w:r>
              <w:rPr/>
              <w:t> </w:t>
            </w:r>
          </w:p>
        </w:tc>
        <w:tc>
          <w:tcPr>
            <w:tcW w:w="816"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pPr>
            <w:r>
              <w:rPr/>
              <w:t> </w:t>
            </w:r>
          </w:p>
        </w:tc>
        <w:tc>
          <w:tcPr>
            <w:tcW w:w="321" w:type="dxa"/>
            <w:tcBorders/>
            <w:vAlign w:val="center"/>
          </w:tcPr>
          <w:p>
            <w:pPr>
              <w:pStyle w:val="TableContents"/>
              <w:bidi w:val="0"/>
              <w:spacing w:before="0" w:after="283"/>
              <w:jc w:val="center"/>
              <w:rPr/>
            </w:pPr>
            <w:r>
              <w:rPr/>
              <w:t> </w:t>
            </w:r>
          </w:p>
        </w:tc>
      </w:tr>
      <w:tr>
        <w:trPr/>
        <w:tc>
          <w:tcPr>
            <w:tcW w:w="51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71"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2026</w:t>
            </w:r>
          </w:p>
        </w:tc>
        <w:tc>
          <w:tcPr>
            <w:tcW w:w="276"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jc w:val="center"/>
              <w:rPr/>
            </w:pPr>
            <w:r>
              <w:rPr/>
              <w:t> </w:t>
            </w:r>
          </w:p>
        </w:tc>
        <w:tc>
          <w:tcPr>
            <w:tcW w:w="871"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2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99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Change</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Change</w:t>
            </w:r>
          </w:p>
        </w:tc>
        <w:tc>
          <w:tcPr>
            <w:tcW w:w="321" w:type="dxa"/>
            <w:tcBorders/>
            <w:shd w:fill="FFFFFF" w:val="clear"/>
            <w:vAlign w:val="center"/>
          </w:tcPr>
          <w:p>
            <w:pPr>
              <w:pStyle w:val="TableContents"/>
              <w:bidi w:val="0"/>
              <w:spacing w:before="0" w:after="283"/>
              <w:ind w:left="0" w:right="0" w:hanging="180"/>
              <w:jc w:val="center"/>
              <w:rPr/>
            </w:pPr>
            <w:r>
              <w:rPr/>
              <w:t> </w:t>
            </w:r>
          </w:p>
        </w:tc>
      </w:tr>
      <w:tr>
        <w:trPr/>
        <w:tc>
          <w:tcPr>
            <w:tcW w:w="5158" w:type="dxa"/>
            <w:tcBorders/>
            <w:shd w:fill="CCEEFF" w:val="clear"/>
            <w:vAlign w:val="center"/>
          </w:tcPr>
          <w:p>
            <w:pPr>
              <w:pStyle w:val="TableContents"/>
              <w:bidi w:val="0"/>
              <w:spacing w:before="0" w:after="283"/>
              <w:jc w:val="left"/>
              <w:rPr>
                <w:b/>
              </w:rPr>
            </w:pPr>
            <w:r>
              <w:rPr>
                <w:b/>
              </w:rPr>
              <w:t>Revenues, net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b/>
              </w:rPr>
            </w:pPr>
            <w:r>
              <w:rPr>
                <w:b/>
              </w:rPr>
              <w:t>$</w:t>
            </w:r>
          </w:p>
        </w:tc>
        <w:tc>
          <w:tcPr>
            <w:tcW w:w="723" w:type="dxa"/>
            <w:tcBorders/>
            <w:shd w:fill="CCEEFF" w:val="clear"/>
            <w:vAlign w:val="center"/>
          </w:tcPr>
          <w:p>
            <w:pPr>
              <w:pStyle w:val="TableContents"/>
              <w:bidi w:val="0"/>
              <w:spacing w:before="0" w:after="283"/>
              <w:jc w:val="right"/>
              <w:rPr>
                <w:b/>
              </w:rPr>
            </w:pPr>
            <w:r>
              <w:rPr>
                <w:b/>
              </w:rPr>
              <w:t>21,918</w:t>
            </w:r>
          </w:p>
        </w:tc>
        <w:tc>
          <w:tcPr>
            <w:tcW w:w="27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b/>
              </w:rPr>
            </w:pPr>
            <w:r>
              <w:rPr>
                <w:b/>
              </w:rPr>
              <w:t>$</w:t>
            </w:r>
          </w:p>
        </w:tc>
        <w:tc>
          <w:tcPr>
            <w:tcW w:w="723" w:type="dxa"/>
            <w:tcBorders/>
            <w:shd w:fill="CCEEFF" w:val="clear"/>
            <w:vAlign w:val="center"/>
          </w:tcPr>
          <w:p>
            <w:pPr>
              <w:pStyle w:val="TableContents"/>
              <w:bidi w:val="0"/>
              <w:spacing w:before="0" w:after="283"/>
              <w:jc w:val="right"/>
              <w:rPr>
                <w:b/>
              </w:rPr>
            </w:pPr>
            <w:r>
              <w:rPr>
                <w:b/>
              </w:rPr>
              <w:t>15,330</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b/>
              </w:rPr>
            </w:pPr>
            <w:r>
              <w:rPr>
                <w:b/>
              </w:rPr>
              <w:t>$</w:t>
            </w:r>
          </w:p>
        </w:tc>
        <w:tc>
          <w:tcPr>
            <w:tcW w:w="816" w:type="dxa"/>
            <w:tcBorders/>
            <w:shd w:fill="CCEEFF" w:val="clear"/>
            <w:vAlign w:val="center"/>
          </w:tcPr>
          <w:p>
            <w:pPr>
              <w:pStyle w:val="TableContents"/>
              <w:bidi w:val="0"/>
              <w:spacing w:before="0" w:after="283"/>
              <w:jc w:val="right"/>
              <w:rPr>
                <w:b/>
              </w:rPr>
            </w:pPr>
            <w:r>
              <w:rPr>
                <w:b/>
              </w:rPr>
              <w:t>6,558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b/>
              </w:rPr>
            </w:pPr>
            <w:r>
              <w:rPr>
                <w:b/>
              </w:rPr>
              <w:t>43</w:t>
            </w:r>
          </w:p>
        </w:tc>
        <w:tc>
          <w:tcPr>
            <w:tcW w:w="321" w:type="dxa"/>
            <w:tcBorders/>
            <w:shd w:fill="CCEEFF" w:val="clear"/>
            <w:vAlign w:val="center"/>
          </w:tcPr>
          <w:p>
            <w:pPr>
              <w:pStyle w:val="TableContents"/>
              <w:bidi w:val="0"/>
              <w:spacing w:before="0" w:after="283"/>
              <w:ind w:left="0" w:right="0" w:hanging="180"/>
              <w:jc w:val="left"/>
              <w:rPr>
                <w:b/>
              </w:rPr>
            </w:pPr>
            <w:r>
              <w:rPr>
                <w:b/>
              </w:rPr>
              <w:t>%</w:t>
            </w:r>
          </w:p>
        </w:tc>
      </w:tr>
      <w:tr>
        <w:trPr/>
        <w:tc>
          <w:tcPr>
            <w:tcW w:w="5158"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pPr>
            <w:r>
              <w:rPr/>
              <w:t>15,539</w:t>
            </w:r>
          </w:p>
        </w:tc>
        <w:tc>
          <w:tcPr>
            <w:tcW w:w="27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pPr>
            <w:r>
              <w:rPr/>
              <w:t>11,552</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6" w:type="dxa"/>
            <w:tcBorders>
              <w:bottom w:val="single" w:sz="8" w:space="0" w:color="000000"/>
            </w:tcBorders>
            <w:shd w:fill="FFFFFF" w:val="clear"/>
            <w:tcMar>
              <w:bottom w:w="28" w:type="dxa"/>
            </w:tcMar>
            <w:vAlign w:val="center"/>
          </w:tcPr>
          <w:p>
            <w:pPr>
              <w:pStyle w:val="TableContents"/>
              <w:bidi w:val="0"/>
              <w:spacing w:before="0" w:after="283"/>
              <w:jc w:val="right"/>
              <w:rPr/>
            </w:pPr>
            <w:r>
              <w:rPr/>
              <w:t>(3,987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(35</w:t>
            </w:r>
          </w:p>
        </w:tc>
        <w:tc>
          <w:tcPr>
            <w:tcW w:w="321" w:type="dxa"/>
            <w:tcBorders/>
            <w:shd w:fill="FFFFFF" w:val="clear"/>
            <w:vAlign w:val="center"/>
          </w:tcPr>
          <w:p>
            <w:pPr>
              <w:pStyle w:val="TableContents"/>
              <w:bidi w:val="0"/>
              <w:spacing w:before="0" w:after="283"/>
              <w:ind w:left="0" w:right="0" w:hanging="180"/>
              <w:jc w:val="left"/>
              <w:rPr/>
            </w:pPr>
            <w:r>
              <w:rPr/>
              <w:t>)%</w:t>
            </w:r>
          </w:p>
        </w:tc>
      </w:tr>
      <w:tr>
        <w:trPr/>
        <w:tc>
          <w:tcPr>
            <w:tcW w:w="5158"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b/>
              </w:rPr>
            </w:pPr>
            <w:r>
              <w:rPr>
                <w:b/>
              </w:rPr>
              <w:t>$</w:t>
            </w:r>
          </w:p>
        </w:tc>
        <w:tc>
          <w:tcPr>
            <w:tcW w:w="723" w:type="dxa"/>
            <w:tcBorders/>
            <w:shd w:fill="CCEEFF" w:val="clear"/>
            <w:vAlign w:val="center"/>
          </w:tcPr>
          <w:p>
            <w:pPr>
              <w:pStyle w:val="TableContents"/>
              <w:bidi w:val="0"/>
              <w:spacing w:before="0" w:after="283"/>
              <w:jc w:val="right"/>
              <w:rPr>
                <w:b/>
              </w:rPr>
            </w:pPr>
            <w:r>
              <w:rPr>
                <w:b/>
              </w:rPr>
              <w:t>6,379</w:t>
            </w:r>
          </w:p>
        </w:tc>
        <w:tc>
          <w:tcPr>
            <w:tcW w:w="27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b/>
              </w:rPr>
            </w:pPr>
            <w:r>
              <w:rPr>
                <w:b/>
              </w:rPr>
              <w:t>$</w:t>
            </w:r>
          </w:p>
        </w:tc>
        <w:tc>
          <w:tcPr>
            <w:tcW w:w="723" w:type="dxa"/>
            <w:tcBorders/>
            <w:shd w:fill="CCEEFF" w:val="clear"/>
            <w:vAlign w:val="center"/>
          </w:tcPr>
          <w:p>
            <w:pPr>
              <w:pStyle w:val="TableContents"/>
              <w:bidi w:val="0"/>
              <w:spacing w:before="0" w:after="283"/>
              <w:jc w:val="right"/>
              <w:rPr>
                <w:b/>
              </w:rPr>
            </w:pPr>
            <w:r>
              <w:rPr>
                <w:b/>
              </w:rPr>
              <w:t>3,778</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b/>
              </w:rPr>
            </w:pPr>
            <w:r>
              <w:rPr>
                <w:b/>
              </w:rPr>
              <w:t>$</w:t>
            </w:r>
          </w:p>
        </w:tc>
        <w:tc>
          <w:tcPr>
            <w:tcW w:w="816" w:type="dxa"/>
            <w:tcBorders/>
            <w:shd w:fill="CCEEFF" w:val="clear"/>
            <w:vAlign w:val="center"/>
          </w:tcPr>
          <w:p>
            <w:pPr>
              <w:pStyle w:val="TableContents"/>
              <w:bidi w:val="0"/>
              <w:spacing w:before="0" w:after="283"/>
              <w:jc w:val="right"/>
              <w:rPr>
                <w:b/>
              </w:rPr>
            </w:pPr>
            <w:r>
              <w:rPr>
                <w:b/>
              </w:rPr>
              <w:t>2,601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b/>
              </w:rPr>
            </w:pPr>
            <w:r>
              <w:rPr>
                <w:b/>
              </w:rPr>
              <w:t>69</w:t>
            </w:r>
          </w:p>
        </w:tc>
        <w:tc>
          <w:tcPr>
            <w:tcW w:w="321" w:type="dxa"/>
            <w:tcBorders/>
            <w:shd w:fill="CCEEFF" w:val="clear"/>
            <w:vAlign w:val="center"/>
          </w:tcPr>
          <w:p>
            <w:pPr>
              <w:pStyle w:val="TableContents"/>
              <w:bidi w:val="0"/>
              <w:spacing w:before="0" w:after="283"/>
              <w:ind w:left="0" w:right="0" w:hanging="180"/>
              <w:jc w:val="left"/>
              <w:rPr>
                <w:b/>
              </w:rPr>
            </w:pPr>
            <w:r>
              <w:rPr>
                <w:b/>
              </w:rPr>
              <w:t>%</w:t>
            </w:r>
          </w:p>
        </w:tc>
      </w:tr>
      <w:tr>
        <w:trPr/>
        <w:tc>
          <w:tcPr>
            <w:tcW w:w="5158" w:type="dxa"/>
            <w:tcBorders/>
            <w:shd w:fill="FFFFFF" w:val="clear"/>
            <w:vAlign w:val="center"/>
          </w:tcPr>
          <w:p>
            <w:pPr>
              <w:pStyle w:val="TableContents"/>
              <w:bidi w:val="0"/>
              <w:spacing w:before="0" w:after="283"/>
              <w:jc w:val="left"/>
              <w:rPr>
                <w:b/>
              </w:rPr>
            </w:pPr>
            <w:r>
              <w:rPr>
                <w:b/>
              </w:rPr>
              <w:t>Gross Profit Margin</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b/>
              </w:rPr>
            </w:pPr>
            <w:r>
              <w:rPr>
                <w:b/>
              </w:rPr>
              <w:t>29.1</w:t>
            </w:r>
          </w:p>
        </w:tc>
        <w:tc>
          <w:tcPr>
            <w:tcW w:w="276" w:type="dxa"/>
            <w:tcBorders/>
            <w:shd w:fill="FFFFFF" w:val="clear"/>
            <w:vAlign w:val="center"/>
          </w:tcPr>
          <w:p>
            <w:pPr>
              <w:pStyle w:val="TableContents"/>
              <w:bidi w:val="0"/>
              <w:spacing w:before="0" w:after="283"/>
              <w:jc w:val="left"/>
              <w:rPr>
                <w:b/>
              </w:rPr>
            </w:pPr>
            <w:r>
              <w:rPr>
                <w:b/>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b/>
              </w:rPr>
            </w:pPr>
            <w:r>
              <w:rPr>
                <w:b/>
              </w:rPr>
              <w:t>24.6</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321" w:type="dxa"/>
            <w:tcBorders/>
            <w:shd w:fill="FFFFFF" w:val="clear"/>
            <w:vAlign w:val="center"/>
          </w:tcPr>
          <w:p>
            <w:pPr>
              <w:pStyle w:val="TableContents"/>
              <w:bidi w:val="0"/>
              <w:spacing w:before="0" w:after="283"/>
              <w:ind w:left="0" w:right="0" w:hanging="180"/>
              <w:jc w:val="left"/>
              <w:rPr/>
            </w:pPr>
            <w:r>
              <w:rPr/>
              <w:t> </w:t>
            </w:r>
          </w:p>
        </w:tc>
      </w:tr>
      <w:tr>
        <w:trPr/>
        <w:tc>
          <w:tcPr>
            <w:tcW w:w="5158"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27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321" w:type="dxa"/>
            <w:tcBorders/>
            <w:shd w:fill="CCEEFF" w:val="clear"/>
            <w:vAlign w:val="center"/>
          </w:tcPr>
          <w:p>
            <w:pPr>
              <w:pStyle w:val="TableContents"/>
              <w:bidi w:val="0"/>
              <w:spacing w:before="0" w:after="283"/>
              <w:ind w:left="0" w:right="0" w:hanging="180"/>
              <w:jc w:val="left"/>
              <w:rPr/>
            </w:pPr>
            <w:r>
              <w:rPr/>
              <w:t> </w:t>
            </w:r>
          </w:p>
        </w:tc>
      </w:tr>
      <w:tr>
        <w:trPr/>
        <w:tc>
          <w:tcPr>
            <w:tcW w:w="5158" w:type="dxa"/>
            <w:tcBorders/>
            <w:shd w:fill="FFFFFF" w:val="clear"/>
            <w:vAlign w:val="center"/>
          </w:tcPr>
          <w:p>
            <w:pPr>
              <w:pStyle w:val="TableContents"/>
              <w:bidi w:val="0"/>
              <w:spacing w:before="0" w:after="283"/>
              <w:jc w:val="left"/>
              <w:rPr/>
            </w:pPr>
            <w:r>
              <w:rPr/>
              <w:t>Selling, general &amp; administrative expenses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pPr>
            <w:r>
              <w:rPr/>
              <w:t>3,019</w:t>
            </w:r>
          </w:p>
        </w:tc>
        <w:tc>
          <w:tcPr>
            <w:tcW w:w="27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pPr>
            <w:r>
              <w:rPr/>
              <w:t>2,958</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6" w:type="dxa"/>
            <w:tcBorders>
              <w:bottom w:val="single" w:sz="8" w:space="0" w:color="000000"/>
            </w:tcBorders>
            <w:shd w:fill="FFFFFF" w:val="clear"/>
            <w:tcMar>
              <w:bottom w:w="28" w:type="dxa"/>
            </w:tcM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321" w:type="dxa"/>
            <w:tcBorders/>
            <w:shd w:fill="FFFFFF" w:val="clear"/>
            <w:vAlign w:val="center"/>
          </w:tcPr>
          <w:p>
            <w:pPr>
              <w:pStyle w:val="TableContents"/>
              <w:bidi w:val="0"/>
              <w:spacing w:before="0" w:after="283"/>
              <w:ind w:left="0" w:right="0" w:hanging="180"/>
              <w:jc w:val="left"/>
              <w:rPr/>
            </w:pPr>
            <w:r>
              <w:rPr/>
              <w:t>)%</w:t>
            </w:r>
          </w:p>
        </w:tc>
      </w:tr>
      <w:tr>
        <w:trPr/>
        <w:tc>
          <w:tcPr>
            <w:tcW w:w="5158"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3,019</w:t>
            </w:r>
          </w:p>
        </w:tc>
        <w:tc>
          <w:tcPr>
            <w:tcW w:w="27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2,958</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1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w:t>
            </w:r>
          </w:p>
        </w:tc>
        <w:tc>
          <w:tcPr>
            <w:tcW w:w="321" w:type="dxa"/>
            <w:tcBorders/>
            <w:shd w:fill="CCEEFF" w:val="clear"/>
            <w:vAlign w:val="center"/>
          </w:tcPr>
          <w:p>
            <w:pPr>
              <w:pStyle w:val="TableContents"/>
              <w:bidi w:val="0"/>
              <w:spacing w:before="0" w:after="283"/>
              <w:ind w:left="0" w:right="0" w:hanging="180"/>
              <w:jc w:val="left"/>
              <w:rPr>
                <w:b/>
              </w:rPr>
            </w:pPr>
            <w:r>
              <w:rPr>
                <w:b/>
              </w:rPr>
              <w:t>)%</w:t>
            </w:r>
          </w:p>
        </w:tc>
      </w:tr>
      <w:tr>
        <w:trPr/>
        <w:tc>
          <w:tcPr>
            <w:tcW w:w="5158" w:type="dxa"/>
            <w:tcBorders/>
            <w:shd w:fill="FFFFFF" w:val="clear"/>
            <w:vAlign w:val="center"/>
          </w:tcPr>
          <w:p>
            <w:pPr>
              <w:pStyle w:val="TableContents"/>
              <w:bidi w:val="0"/>
              <w:spacing w:before="0" w:after="283"/>
              <w:jc w:val="left"/>
              <w:rPr>
                <w:b/>
              </w:rPr>
            </w:pPr>
            <w:r>
              <w:rPr>
                <w:b/>
              </w:rPr>
              <w:t>(Loss) / income from operations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b/>
              </w:rPr>
            </w:pPr>
            <w:r>
              <w:rPr>
                <w:b/>
              </w:rPr>
              <w:t>$</w:t>
            </w:r>
          </w:p>
        </w:tc>
        <w:tc>
          <w:tcPr>
            <w:tcW w:w="723" w:type="dxa"/>
            <w:tcBorders/>
            <w:shd w:fill="FFFFFF" w:val="clear"/>
            <w:vAlign w:val="center"/>
          </w:tcPr>
          <w:p>
            <w:pPr>
              <w:pStyle w:val="TableContents"/>
              <w:bidi w:val="0"/>
              <w:spacing w:before="0" w:after="283"/>
              <w:jc w:val="right"/>
              <w:rPr>
                <w:b/>
              </w:rPr>
            </w:pPr>
            <w:r>
              <w:rPr>
                <w:b/>
              </w:rPr>
              <w:t>3,360</w:t>
            </w:r>
          </w:p>
        </w:tc>
        <w:tc>
          <w:tcPr>
            <w:tcW w:w="27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b/>
              </w:rPr>
            </w:pPr>
            <w:r>
              <w:rPr>
                <w:b/>
              </w:rPr>
              <w:t>$</w:t>
            </w:r>
          </w:p>
        </w:tc>
        <w:tc>
          <w:tcPr>
            <w:tcW w:w="723" w:type="dxa"/>
            <w:tcBorders/>
            <w:shd w:fill="FFFFFF" w:val="clear"/>
            <w:vAlign w:val="center"/>
          </w:tcPr>
          <w:p>
            <w:pPr>
              <w:pStyle w:val="TableContents"/>
              <w:bidi w:val="0"/>
              <w:spacing w:before="0" w:after="283"/>
              <w:jc w:val="right"/>
              <w:rPr>
                <w:b/>
              </w:rPr>
            </w:pPr>
            <w:r>
              <w:rPr>
                <w:b/>
              </w:rPr>
              <w:t>820</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b/>
              </w:rPr>
            </w:pPr>
            <w:r>
              <w:rPr>
                <w:b/>
              </w:rPr>
              <w:t>$</w:t>
            </w:r>
          </w:p>
        </w:tc>
        <w:tc>
          <w:tcPr>
            <w:tcW w:w="816" w:type="dxa"/>
            <w:tcBorders/>
            <w:shd w:fill="FFFFFF" w:val="clear"/>
            <w:vAlign w:val="center"/>
          </w:tcPr>
          <w:p>
            <w:pPr>
              <w:pStyle w:val="TableContents"/>
              <w:bidi w:val="0"/>
              <w:spacing w:before="0" w:after="283"/>
              <w:jc w:val="right"/>
              <w:rPr>
                <w:b/>
              </w:rPr>
            </w:pPr>
            <w:r>
              <w:rPr>
                <w:b/>
              </w:rPr>
              <w:t>2,540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b/>
              </w:rPr>
            </w:pPr>
            <w:r>
              <w:rPr>
                <w:b/>
              </w:rPr>
              <w:t>310</w:t>
            </w:r>
          </w:p>
        </w:tc>
        <w:tc>
          <w:tcPr>
            <w:tcW w:w="321" w:type="dxa"/>
            <w:tcBorders/>
            <w:shd w:fill="FFFFFF" w:val="clear"/>
            <w:vAlign w:val="center"/>
          </w:tcPr>
          <w:p>
            <w:pPr>
              <w:pStyle w:val="TableContents"/>
              <w:bidi w:val="0"/>
              <w:spacing w:before="0" w:after="283"/>
              <w:ind w:left="0" w:right="0" w:hanging="180"/>
              <w:jc w:val="left"/>
              <w:rPr>
                <w:b/>
              </w:rPr>
            </w:pPr>
            <w:r>
              <w:rPr>
                <w:b/>
              </w:rPr>
              <w:t>%</w:t>
            </w:r>
          </w:p>
        </w:tc>
      </w:tr>
      <w:tr>
        <w:trPr/>
        <w:tc>
          <w:tcPr>
            <w:tcW w:w="5158" w:type="dxa"/>
            <w:tcBorders/>
            <w:shd w:fill="CCEEFF" w:val="clear"/>
            <w:vAlign w:val="center"/>
          </w:tcPr>
          <w:p>
            <w:pPr>
              <w:pStyle w:val="TableContents"/>
              <w:bidi w:val="0"/>
              <w:spacing w:before="0" w:after="283"/>
              <w:jc w:val="left"/>
              <w:rPr>
                <w:b/>
              </w:rPr>
            </w:pPr>
            <w:r>
              <w:rPr>
                <w:b/>
              </w:rPr>
              <w:t>Other income / (expense)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27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321" w:type="dxa"/>
            <w:tcBorders/>
            <w:shd w:fill="CCEEFF" w:val="clear"/>
            <w:vAlign w:val="center"/>
          </w:tcPr>
          <w:p>
            <w:pPr>
              <w:pStyle w:val="TableContents"/>
              <w:bidi w:val="0"/>
              <w:spacing w:before="0" w:after="283"/>
              <w:ind w:left="0" w:right="0" w:hanging="180"/>
              <w:jc w:val="left"/>
              <w:rPr/>
            </w:pPr>
            <w:r>
              <w:rPr/>
              <w:t> </w:t>
            </w:r>
          </w:p>
        </w:tc>
      </w:tr>
      <w:tr>
        <w:trPr/>
        <w:tc>
          <w:tcPr>
            <w:tcW w:w="5158" w:type="dxa"/>
            <w:tcBorders/>
            <w:shd w:fill="FFFFFF" w:val="clear"/>
            <w:vAlign w:val="center"/>
          </w:tcPr>
          <w:p>
            <w:pPr>
              <w:pStyle w:val="TableContents"/>
              <w:bidi w:val="0"/>
              <w:spacing w:before="0" w:after="283"/>
              <w:jc w:val="left"/>
              <w:rPr/>
            </w:pPr>
            <w:r>
              <w:rPr/>
              <w:t>Change in fair value of forward purchase agreement put option liability</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(7</w:t>
            </w:r>
          </w:p>
        </w:tc>
        <w:tc>
          <w:tcPr>
            <w:tcW w:w="276"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1,255</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(1,262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(101</w:t>
            </w:r>
          </w:p>
        </w:tc>
        <w:tc>
          <w:tcPr>
            <w:tcW w:w="321" w:type="dxa"/>
            <w:tcBorders/>
            <w:shd w:fill="FFFFFF" w:val="clear"/>
            <w:vAlign w:val="center"/>
          </w:tcPr>
          <w:p>
            <w:pPr>
              <w:pStyle w:val="TableContents"/>
              <w:bidi w:val="0"/>
              <w:spacing w:before="0" w:after="283"/>
              <w:ind w:left="0" w:right="0" w:hanging="180"/>
              <w:jc w:val="left"/>
              <w:rPr/>
            </w:pPr>
            <w:r>
              <w:rPr/>
              <w:t>)%</w:t>
            </w:r>
          </w:p>
        </w:tc>
      </w:tr>
      <w:tr>
        <w:trPr/>
        <w:tc>
          <w:tcPr>
            <w:tcW w:w="5158" w:type="dxa"/>
            <w:tcBorders/>
            <w:shd w:fill="CCEEFF" w:val="clear"/>
            <w:vAlign w:val="center"/>
          </w:tcPr>
          <w:p>
            <w:pPr>
              <w:pStyle w:val="TableContents"/>
              <w:bidi w:val="0"/>
              <w:spacing w:before="0" w:after="283"/>
              <w:jc w:val="left"/>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w:t>
            </w:r>
          </w:p>
        </w:tc>
        <w:tc>
          <w:tcPr>
            <w:tcW w:w="27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23</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(100</w:t>
            </w:r>
          </w:p>
        </w:tc>
        <w:tc>
          <w:tcPr>
            <w:tcW w:w="321" w:type="dxa"/>
            <w:tcBorders/>
            <w:shd w:fill="CCEEFF" w:val="clear"/>
            <w:vAlign w:val="center"/>
          </w:tcPr>
          <w:p>
            <w:pPr>
              <w:pStyle w:val="TableContents"/>
              <w:bidi w:val="0"/>
              <w:spacing w:before="0" w:after="283"/>
              <w:ind w:left="0" w:right="0" w:hanging="180"/>
              <w:jc w:val="left"/>
              <w:rPr/>
            </w:pPr>
            <w:r>
              <w:rPr/>
              <w:t>)%</w:t>
            </w:r>
          </w:p>
        </w:tc>
      </w:tr>
      <w:tr>
        <w:trPr/>
        <w:tc>
          <w:tcPr>
            <w:tcW w:w="5158"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78</w:t>
            </w:r>
          </w:p>
        </w:tc>
        <w:tc>
          <w:tcPr>
            <w:tcW w:w="27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72</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8</w:t>
            </w:r>
          </w:p>
        </w:tc>
        <w:tc>
          <w:tcPr>
            <w:tcW w:w="321" w:type="dxa"/>
            <w:tcBorders/>
            <w:shd w:fill="FFFFFF" w:val="clear"/>
            <w:vAlign w:val="center"/>
          </w:tcPr>
          <w:p>
            <w:pPr>
              <w:pStyle w:val="TableContents"/>
              <w:bidi w:val="0"/>
              <w:spacing w:before="0" w:after="283"/>
              <w:ind w:left="0" w:right="0" w:hanging="180"/>
              <w:jc w:val="left"/>
              <w:rPr/>
            </w:pPr>
            <w:r>
              <w:rPr/>
              <w:t>%</w:t>
            </w:r>
          </w:p>
        </w:tc>
      </w:tr>
      <w:tr>
        <w:trPr/>
        <w:tc>
          <w:tcPr>
            <w:tcW w:w="5158"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(116</w:t>
            </w:r>
          </w:p>
        </w:tc>
        <w:tc>
          <w:tcPr>
            <w:tcW w:w="276"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(170</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32</w:t>
            </w:r>
          </w:p>
        </w:tc>
        <w:tc>
          <w:tcPr>
            <w:tcW w:w="321" w:type="dxa"/>
            <w:tcBorders/>
            <w:shd w:fill="CCEEFF" w:val="clear"/>
            <w:vAlign w:val="center"/>
          </w:tcPr>
          <w:p>
            <w:pPr>
              <w:pStyle w:val="TableContents"/>
              <w:bidi w:val="0"/>
              <w:spacing w:before="0" w:after="283"/>
              <w:ind w:left="0" w:right="0" w:hanging="180"/>
              <w:jc w:val="left"/>
              <w:rPr/>
            </w:pPr>
            <w:r>
              <w:rPr/>
              <w:t>%</w:t>
            </w:r>
          </w:p>
        </w:tc>
      </w:tr>
      <w:tr>
        <w:trPr/>
        <w:tc>
          <w:tcPr>
            <w:tcW w:w="5158"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pPr>
            <w:r>
              <w:rPr/>
              <w:t>(223</w:t>
            </w:r>
          </w:p>
        </w:tc>
        <w:tc>
          <w:tcPr>
            <w:tcW w:w="276"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6" w:type="dxa"/>
            <w:tcBorders>
              <w:bottom w:val="single" w:sz="8" w:space="0" w:color="000000"/>
            </w:tcBorders>
            <w:shd w:fill="FFFFFF" w:val="clear"/>
            <w:tcMar>
              <w:bottom w:w="28" w:type="dxa"/>
            </w:tcMar>
            <w:vAlign w:val="center"/>
          </w:tcPr>
          <w:p>
            <w:pPr>
              <w:pStyle w:val="TableContents"/>
              <w:bidi w:val="0"/>
              <w:spacing w:before="0" w:after="283"/>
              <w:jc w:val="right"/>
              <w:rPr/>
            </w:pPr>
            <w:r>
              <w:rPr/>
              <w:t>(230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(3,286</w:t>
            </w:r>
          </w:p>
        </w:tc>
        <w:tc>
          <w:tcPr>
            <w:tcW w:w="321" w:type="dxa"/>
            <w:tcBorders/>
            <w:shd w:fill="FFFFFF" w:val="clear"/>
            <w:vAlign w:val="center"/>
          </w:tcPr>
          <w:p>
            <w:pPr>
              <w:pStyle w:val="TableContents"/>
              <w:bidi w:val="0"/>
              <w:spacing w:before="0" w:after="283"/>
              <w:ind w:left="0" w:right="0" w:hanging="180"/>
              <w:jc w:val="left"/>
              <w:rPr/>
            </w:pPr>
            <w:r>
              <w:rPr/>
              <w:t>)%</w:t>
            </w:r>
          </w:p>
        </w:tc>
      </w:tr>
      <w:tr>
        <w:trPr/>
        <w:tc>
          <w:tcPr>
            <w:tcW w:w="5158" w:type="dxa"/>
            <w:tcBorders/>
            <w:shd w:fill="CCEEFF" w:val="clear"/>
            <w:vAlign w:val="center"/>
          </w:tcPr>
          <w:p>
            <w:pPr>
              <w:pStyle w:val="TableContents"/>
              <w:bidi w:val="0"/>
              <w:spacing w:before="0" w:after="283"/>
              <w:jc w:val="left"/>
              <w:rPr>
                <w:b/>
              </w:rPr>
            </w:pPr>
            <w:r>
              <w:rPr>
                <w:b/>
              </w:rPr>
              <w:t>Total other income</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(268</w:t>
            </w:r>
          </w:p>
        </w:tc>
        <w:tc>
          <w:tcPr>
            <w:tcW w:w="276" w:type="dxa"/>
            <w:tcBorders/>
            <w:shd w:fill="CCEEFF" w:val="clear"/>
            <w:vAlign w:val="center"/>
          </w:tcPr>
          <w:p>
            <w:pPr>
              <w:pStyle w:val="TableContents"/>
              <w:bidi w:val="0"/>
              <w:spacing w:before="0" w:after="283"/>
              <w:jc w:val="left"/>
              <w:rPr>
                <w:b/>
              </w:rPr>
            </w:pPr>
            <w:r>
              <w:rPr>
                <w:b/>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1,187</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(1,455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(123</w:t>
            </w:r>
          </w:p>
        </w:tc>
        <w:tc>
          <w:tcPr>
            <w:tcW w:w="321" w:type="dxa"/>
            <w:tcBorders/>
            <w:shd w:fill="CCEEFF" w:val="clear"/>
            <w:vAlign w:val="center"/>
          </w:tcPr>
          <w:p>
            <w:pPr>
              <w:pStyle w:val="TableContents"/>
              <w:bidi w:val="0"/>
              <w:spacing w:before="0" w:after="283"/>
              <w:ind w:left="0" w:right="0" w:hanging="180"/>
              <w:jc w:val="left"/>
              <w:rPr>
                <w:b/>
              </w:rPr>
            </w:pPr>
            <w:r>
              <w:rPr>
                <w:b/>
              </w:rPr>
              <w:t>)%</w:t>
            </w:r>
          </w:p>
        </w:tc>
      </w:tr>
      <w:tr>
        <w:trPr/>
        <w:tc>
          <w:tcPr>
            <w:tcW w:w="5158" w:type="dxa"/>
            <w:tcBorders/>
            <w:shd w:fill="FFFFFF" w:val="clear"/>
            <w:vAlign w:val="center"/>
          </w:tcPr>
          <w:p>
            <w:pPr>
              <w:pStyle w:val="TableContents"/>
              <w:bidi w:val="0"/>
              <w:spacing w:before="0" w:after="283"/>
              <w:jc w:val="left"/>
              <w:rPr>
                <w:b/>
              </w:rPr>
            </w:pPr>
            <w:r>
              <w:rPr>
                <w:b/>
              </w:rPr>
              <w:t>(Loss) / income before income taxes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b/>
              </w:rPr>
            </w:pPr>
            <w:r>
              <w:rPr>
                <w:b/>
              </w:rPr>
              <w:t>3,092</w:t>
            </w:r>
          </w:p>
        </w:tc>
        <w:tc>
          <w:tcPr>
            <w:tcW w:w="27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b/>
              </w:rPr>
            </w:pPr>
            <w:r>
              <w:rPr>
                <w:b/>
              </w:rPr>
              <w:t>2,007</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b/>
              </w:rPr>
            </w:pPr>
            <w:r>
              <w:rPr>
                <w:b/>
              </w:rPr>
              <w:t>1,085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b/>
              </w:rPr>
            </w:pPr>
            <w:r>
              <w:rPr>
                <w:b/>
              </w:rPr>
              <w:t>54</w:t>
            </w:r>
          </w:p>
        </w:tc>
        <w:tc>
          <w:tcPr>
            <w:tcW w:w="321" w:type="dxa"/>
            <w:tcBorders/>
            <w:shd w:fill="FFFFFF" w:val="clear"/>
            <w:vAlign w:val="center"/>
          </w:tcPr>
          <w:p>
            <w:pPr>
              <w:pStyle w:val="TableContents"/>
              <w:bidi w:val="0"/>
              <w:spacing w:before="0" w:after="283"/>
              <w:ind w:left="0" w:right="0" w:hanging="180"/>
              <w:jc w:val="left"/>
              <w:rPr>
                <w:b/>
              </w:rPr>
            </w:pPr>
            <w:r>
              <w:rPr>
                <w:b/>
              </w:rPr>
              <w:t>%</w:t>
            </w:r>
          </w:p>
        </w:tc>
      </w:tr>
      <w:tr>
        <w:trPr/>
        <w:tc>
          <w:tcPr>
            <w:tcW w:w="5158" w:type="dxa"/>
            <w:tcBorders/>
            <w:shd w:fill="CCEEFF" w:val="clear"/>
            <w:vAlign w:val="center"/>
          </w:tcPr>
          <w:p>
            <w:pPr>
              <w:pStyle w:val="TableContents"/>
              <w:bidi w:val="0"/>
              <w:spacing w:before="0" w:after="283"/>
              <w:jc w:val="left"/>
              <w:rPr/>
            </w:pPr>
            <w:r>
              <w:rPr/>
              <w:t>Income tax benefit / (expenses)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pPr>
            <w:r>
              <w:rPr/>
              <w:t>(878</w:t>
            </w:r>
          </w:p>
        </w:tc>
        <w:tc>
          <w:tcPr>
            <w:tcW w:w="276"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pPr>
            <w:r>
              <w:rPr/>
              <w:t>(331</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6" w:type="dxa"/>
            <w:tcBorders>
              <w:bottom w:val="single" w:sz="8" w:space="0" w:color="000000"/>
            </w:tcBorders>
            <w:shd w:fill="CCEEFF" w:val="clear"/>
            <w:tcMar>
              <w:bottom w:w="28" w:type="dxa"/>
            </w:tcMar>
            <w:vAlign w:val="center"/>
          </w:tcPr>
          <w:p>
            <w:pPr>
              <w:pStyle w:val="TableContents"/>
              <w:bidi w:val="0"/>
              <w:spacing w:before="0" w:after="283"/>
              <w:jc w:val="right"/>
              <w:rPr/>
            </w:pPr>
            <w:r>
              <w:rPr/>
              <w:t>(547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pPr>
            <w:r>
              <w:rPr/>
              <w:t>(165</w:t>
            </w:r>
          </w:p>
        </w:tc>
        <w:tc>
          <w:tcPr>
            <w:tcW w:w="321" w:type="dxa"/>
            <w:tcBorders/>
            <w:shd w:fill="CCEEFF" w:val="clear"/>
            <w:vAlign w:val="center"/>
          </w:tcPr>
          <w:p>
            <w:pPr>
              <w:pStyle w:val="TableContents"/>
              <w:bidi w:val="0"/>
              <w:spacing w:before="0" w:after="283"/>
              <w:ind w:left="0" w:right="0" w:hanging="180"/>
              <w:jc w:val="left"/>
              <w:rPr/>
            </w:pPr>
            <w:r>
              <w:rPr/>
              <w:t>)%</w:t>
            </w:r>
          </w:p>
        </w:tc>
      </w:tr>
      <w:tr>
        <w:trPr/>
        <w:tc>
          <w:tcPr>
            <w:tcW w:w="5158" w:type="dxa"/>
            <w:tcBorders/>
            <w:shd w:fill="FFFFFF" w:val="clear"/>
            <w:vAlign w:val="center"/>
          </w:tcPr>
          <w:p>
            <w:pPr>
              <w:pStyle w:val="TableContents"/>
              <w:bidi w:val="0"/>
              <w:spacing w:before="0" w:after="283"/>
              <w:jc w:val="left"/>
              <w:rPr>
                <w:b/>
              </w:rPr>
            </w:pPr>
            <w:r>
              <w:rPr>
                <w:b/>
              </w:rPr>
              <w:t>Net (loss) / income</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2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2,214</w:t>
            </w:r>
          </w:p>
        </w:tc>
        <w:tc>
          <w:tcPr>
            <w:tcW w:w="27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2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1,676</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1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32</w:t>
            </w:r>
          </w:p>
        </w:tc>
        <w:tc>
          <w:tcPr>
            <w:tcW w:w="321" w:type="dxa"/>
            <w:tcBorders/>
            <w:shd w:fill="FFFFFF" w:val="clear"/>
            <w:vAlign w:val="center"/>
          </w:tcPr>
          <w:p>
            <w:pPr>
              <w:pStyle w:val="TableContents"/>
              <w:bidi w:val="0"/>
              <w:spacing w:before="0" w:after="283"/>
              <w:ind w:left="0" w:right="0" w:hanging="180"/>
              <w:jc w:val="left"/>
              <w:rPr>
                <w:b/>
              </w:rPr>
            </w:pPr>
            <w:r>
              <w:rPr>
                <w:b/>
              </w:rPr>
              <w:t>%</w:t>
            </w:r>
          </w:p>
        </w:tc>
      </w:tr>
      <w:tr>
        <w:trPr/>
        <w:tc>
          <w:tcPr>
            <w:tcW w:w="5158" w:type="dxa"/>
            <w:tcBorders/>
            <w:shd w:fill="CCEEFF" w:val="clear"/>
            <w:vAlign w:val="center"/>
          </w:tcPr>
          <w:p>
            <w:pPr>
              <w:pStyle w:val="TableContents"/>
              <w:bidi w:val="0"/>
              <w:spacing w:before="0" w:after="283"/>
              <w:jc w:val="left"/>
              <w:rPr/>
            </w:pPr>
            <w:r>
              <w:rPr/>
              <w:t>Less: Net (loss) /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155</w:t>
            </w:r>
          </w:p>
        </w:tc>
        <w:tc>
          <w:tcPr>
            <w:tcW w:w="27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62</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150</w:t>
            </w:r>
          </w:p>
        </w:tc>
        <w:tc>
          <w:tcPr>
            <w:tcW w:w="321" w:type="dxa"/>
            <w:tcBorders/>
            <w:shd w:fill="CCEEFF" w:val="clear"/>
            <w:vAlign w:val="center"/>
          </w:tcPr>
          <w:p>
            <w:pPr>
              <w:pStyle w:val="TableContents"/>
              <w:bidi w:val="0"/>
              <w:spacing w:before="0" w:after="283"/>
              <w:ind w:left="0" w:right="0" w:hanging="180"/>
              <w:jc w:val="left"/>
              <w:rPr/>
            </w:pPr>
            <w:r>
              <w:rPr/>
              <w:t>%</w:t>
            </w:r>
          </w:p>
        </w:tc>
      </w:tr>
      <w:tr>
        <w:trPr/>
        <w:tc>
          <w:tcPr>
            <w:tcW w:w="5158" w:type="dxa"/>
            <w:tcBorders/>
            <w:shd w:fill="FFFFFF" w:val="clear"/>
            <w:vAlign w:val="center"/>
          </w:tcPr>
          <w:p>
            <w:pPr>
              <w:pStyle w:val="TableContents"/>
              <w:bidi w:val="0"/>
              <w:spacing w:before="0" w:after="283"/>
              <w:jc w:val="left"/>
              <w:rPr/>
            </w:pPr>
            <w:r>
              <w:rPr/>
              <w:t>Less: Net (loss) / income attributable to redeemable noncontrolling interests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pPr>
            <w:r>
              <w:rPr/>
              <w:t>277</w:t>
            </w:r>
          </w:p>
        </w:tc>
        <w:tc>
          <w:tcPr>
            <w:tcW w:w="27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pPr>
            <w:r>
              <w:rPr/>
              <w:t>102</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6" w:type="dxa"/>
            <w:tcBorders>
              <w:bottom w:val="single" w:sz="8" w:space="0" w:color="000000"/>
            </w:tcBorders>
            <w:shd w:fill="FFFFFF" w:val="clear"/>
            <w:tcMar>
              <w:bottom w:w="28" w:type="dxa"/>
            </w:tcMar>
            <w:vAlign w:val="center"/>
          </w:tcPr>
          <w:p>
            <w:pPr>
              <w:pStyle w:val="TableContents"/>
              <w:bidi w:val="0"/>
              <w:spacing w:before="0" w:after="283"/>
              <w:jc w:val="right"/>
              <w:rPr/>
            </w:pPr>
            <w:r>
              <w:rPr/>
              <w:t>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172</w:t>
            </w:r>
          </w:p>
        </w:tc>
        <w:tc>
          <w:tcPr>
            <w:tcW w:w="321" w:type="dxa"/>
            <w:tcBorders/>
            <w:shd w:fill="FFFFFF" w:val="clear"/>
            <w:vAlign w:val="center"/>
          </w:tcPr>
          <w:p>
            <w:pPr>
              <w:pStyle w:val="TableContents"/>
              <w:bidi w:val="0"/>
              <w:spacing w:before="0" w:after="283"/>
              <w:ind w:left="0" w:right="0" w:hanging="180"/>
              <w:jc w:val="left"/>
              <w:rPr/>
            </w:pPr>
            <w:r>
              <w:rPr/>
              <w:t>%</w:t>
            </w:r>
          </w:p>
        </w:tc>
      </w:tr>
      <w:tr>
        <w:trPr/>
        <w:tc>
          <w:tcPr>
            <w:tcW w:w="5158" w:type="dxa"/>
            <w:tcBorders/>
            <w:shd w:fill="CCEEFF" w:val="clear"/>
            <w:vAlign w:val="center"/>
          </w:tcPr>
          <w:p>
            <w:pPr>
              <w:pStyle w:val="TableContents"/>
              <w:bidi w:val="0"/>
              <w:spacing w:before="0" w:after="283"/>
              <w:jc w:val="left"/>
              <w:rPr>
                <w:b/>
              </w:rPr>
            </w:pPr>
            <w:r>
              <w:rPr>
                <w:b/>
              </w:rPr>
              <w:t>Net (loss) / income attributable to the shareholders of Aeries Technology, Inc.</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1,782</w:t>
            </w:r>
          </w:p>
        </w:tc>
        <w:tc>
          <w:tcPr>
            <w:tcW w:w="27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1,512</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1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w:t>
            </w:r>
          </w:p>
        </w:tc>
        <w:tc>
          <w:tcPr>
            <w:tcW w:w="321" w:type="dxa"/>
            <w:tcBorders/>
            <w:shd w:fill="CCEEFF" w:val="clear"/>
            <w:vAlign w:val="center"/>
          </w:tcPr>
          <w:p>
            <w:pPr>
              <w:pStyle w:val="TableContents"/>
              <w:bidi w:val="0"/>
              <w:spacing w:before="0" w:after="283"/>
              <w:jc w:val="left"/>
              <w:rPr>
                <w:b/>
              </w:rPr>
            </w:pPr>
            <w:r>
              <w:rPr>
                <w:b/>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NON-GAAP FINANCIAL MEASURES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percentages)</w:t>
      </w:r>
    </w:p>
    <w:p>
      <w:pPr>
        <w:pStyle w:val="TextBody"/>
        <w:bidi w:val="0"/>
        <w:jc w:val="left"/>
        <w:rPr>
          <w:caps w:val="false"/>
          <w:smallCaps w:val="false"/>
        </w:rPr>
      </w:pPr>
      <w:r>
        <w:rPr>
          <w:caps w:val="false"/>
          <w:smallCaps w:val="false"/>
        </w:rPr>
        <w:t> </w:t>
      </w:r>
    </w:p>
    <w:tbl>
      <w:tblPr>
        <w:tblW w:w="9447" w:type="dxa"/>
        <w:jc w:val="left"/>
        <w:tblInd w:w="0" w:type="dxa"/>
        <w:tblLayout w:type="fixed"/>
        <w:tblCellMar>
          <w:top w:w="0" w:type="dxa"/>
          <w:left w:w="0" w:type="dxa"/>
          <w:bottom w:w="0" w:type="dxa"/>
          <w:right w:w="0" w:type="dxa"/>
        </w:tblCellMar>
      </w:tblPr>
      <w:tblGrid>
        <w:gridCol w:w="6935"/>
        <w:gridCol w:w="60"/>
        <w:gridCol w:w="155"/>
        <w:gridCol w:w="756"/>
        <w:gridCol w:w="289"/>
        <w:gridCol w:w="66"/>
        <w:gridCol w:w="155"/>
        <w:gridCol w:w="756"/>
        <w:gridCol w:w="275"/>
      </w:tblGrid>
      <w:tr>
        <w:trPr/>
        <w:tc>
          <w:tcPr>
            <w:tcW w:w="6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7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275" w:type="dxa"/>
            <w:tcBorders/>
            <w:vAlign w:val="center"/>
          </w:tcPr>
          <w:p>
            <w:pPr>
              <w:pStyle w:val="TableContents"/>
              <w:bidi w:val="0"/>
              <w:spacing w:before="0" w:after="283"/>
              <w:jc w:val="center"/>
              <w:rPr/>
            </w:pPr>
            <w:r>
              <w:rPr/>
              <w:t> </w:t>
            </w:r>
          </w:p>
        </w:tc>
      </w:tr>
      <w:tr>
        <w:trPr/>
        <w:tc>
          <w:tcPr>
            <w:tcW w:w="69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911"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2026</w:t>
            </w:r>
          </w:p>
        </w:tc>
        <w:tc>
          <w:tcPr>
            <w:tcW w:w="289" w:type="dxa"/>
            <w:tcBorders/>
            <w:shd w:fill="FFFFFF" w:val="clear"/>
            <w:vAlign w:val="center"/>
          </w:tcPr>
          <w:p>
            <w:pPr>
              <w:pStyle w:val="TableContents"/>
              <w:bidi w:val="0"/>
              <w:spacing w:before="0" w:after="283"/>
              <w:jc w:val="center"/>
              <w:rPr/>
            </w:pPr>
            <w:r>
              <w:rPr/>
              <w:t> </w:t>
            </w:r>
          </w:p>
        </w:tc>
        <w:tc>
          <w:tcPr>
            <w:tcW w:w="66" w:type="dxa"/>
            <w:tcBorders/>
            <w:shd w:fill="FFFFFF" w:val="clear"/>
            <w:vAlign w:val="center"/>
          </w:tcPr>
          <w:p>
            <w:pPr>
              <w:pStyle w:val="TableContents"/>
              <w:bidi w:val="0"/>
              <w:spacing w:before="0" w:after="283"/>
              <w:jc w:val="center"/>
              <w:rPr/>
            </w:pPr>
            <w:r>
              <w:rPr/>
              <w:t> </w:t>
            </w:r>
          </w:p>
        </w:tc>
        <w:tc>
          <w:tcPr>
            <w:tcW w:w="911"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275" w:type="dxa"/>
            <w:tcBorders/>
            <w:shd w:fill="FFFFFF" w:val="clear"/>
            <w:vAlign w:val="center"/>
          </w:tcPr>
          <w:p>
            <w:pPr>
              <w:pStyle w:val="TableContents"/>
              <w:bidi w:val="0"/>
              <w:spacing w:before="0" w:after="283"/>
              <w:ind w:left="0" w:right="0" w:hanging="180"/>
              <w:jc w:val="center"/>
              <w:rPr/>
            </w:pPr>
            <w:r>
              <w:rPr/>
              <w:t> </w:t>
            </w:r>
          </w:p>
        </w:tc>
      </w:tr>
      <w:tr>
        <w:trPr/>
        <w:tc>
          <w:tcPr>
            <w:tcW w:w="6935" w:type="dxa"/>
            <w:tcBorders/>
            <w:shd w:fill="CCEEFF" w:val="clear"/>
            <w:vAlign w:val="center"/>
          </w:tcPr>
          <w:p>
            <w:pPr>
              <w:pStyle w:val="TableContents"/>
              <w:bidi w:val="0"/>
              <w:spacing w:before="0" w:after="283"/>
              <w:jc w:val="left"/>
              <w:rPr>
                <w:b/>
              </w:rPr>
            </w:pPr>
            <w:r>
              <w:rPr>
                <w:b/>
              </w:rPr>
              <w:t>Net (loss) / income</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2,214</w:t>
            </w:r>
          </w:p>
        </w:tc>
        <w:tc>
          <w:tcPr>
            <w:tcW w:w="2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1,676</w:t>
            </w:r>
          </w:p>
        </w:tc>
        <w:tc>
          <w:tcPr>
            <w:tcW w:w="275" w:type="dxa"/>
            <w:tcBorders/>
            <w:shd w:fill="CCEEFF" w:val="clear"/>
            <w:vAlign w:val="center"/>
          </w:tcPr>
          <w:p>
            <w:pPr>
              <w:pStyle w:val="TableContents"/>
              <w:bidi w:val="0"/>
              <w:spacing w:before="0" w:after="283"/>
              <w:ind w:left="0" w:right="0" w:hanging="180"/>
              <w:jc w:val="left"/>
              <w:rPr/>
            </w:pPr>
            <w:r>
              <w:rPr/>
              <w:t> </w:t>
            </w:r>
          </w:p>
        </w:tc>
      </w:tr>
      <w:tr>
        <w:trPr/>
        <w:tc>
          <w:tcPr>
            <w:tcW w:w="6935" w:type="dxa"/>
            <w:tcBorders/>
            <w:shd w:fill="FFFFFF" w:val="clear"/>
            <w:vAlign w:val="center"/>
          </w:tcPr>
          <w:p>
            <w:pPr>
              <w:pStyle w:val="TableContents"/>
              <w:bidi w:val="0"/>
              <w:spacing w:before="0" w:after="283"/>
              <w:jc w:val="left"/>
              <w:rPr/>
            </w:pPr>
            <w:r>
              <w:rPr/>
              <w:t>Income tax (benefit) / expense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878</w:t>
            </w:r>
          </w:p>
        </w:tc>
        <w:tc>
          <w:tcPr>
            <w:tcW w:w="2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331</w:t>
            </w:r>
          </w:p>
        </w:tc>
        <w:tc>
          <w:tcPr>
            <w:tcW w:w="275" w:type="dxa"/>
            <w:tcBorders/>
            <w:shd w:fill="FFFFFF" w:val="clear"/>
            <w:vAlign w:val="center"/>
          </w:tcPr>
          <w:p>
            <w:pPr>
              <w:pStyle w:val="TableContents"/>
              <w:bidi w:val="0"/>
              <w:spacing w:before="0" w:after="283"/>
              <w:ind w:left="0" w:right="0" w:hanging="180"/>
              <w:jc w:val="left"/>
              <w:rPr/>
            </w:pPr>
            <w:r>
              <w:rPr/>
              <w:t> </w:t>
            </w:r>
          </w:p>
        </w:tc>
      </w:tr>
      <w:tr>
        <w:trPr/>
        <w:tc>
          <w:tcPr>
            <w:tcW w:w="693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(78</w:t>
            </w:r>
          </w:p>
        </w:tc>
        <w:tc>
          <w:tcPr>
            <w:tcW w:w="289"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(72</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693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116</w:t>
            </w:r>
          </w:p>
        </w:tc>
        <w:tc>
          <w:tcPr>
            <w:tcW w:w="2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170</w:t>
            </w:r>
          </w:p>
        </w:tc>
        <w:tc>
          <w:tcPr>
            <w:tcW w:w="275" w:type="dxa"/>
            <w:tcBorders/>
            <w:shd w:fill="FFFFFF" w:val="clear"/>
            <w:vAlign w:val="center"/>
          </w:tcPr>
          <w:p>
            <w:pPr>
              <w:pStyle w:val="TableContents"/>
              <w:bidi w:val="0"/>
              <w:spacing w:before="0" w:after="283"/>
              <w:ind w:left="0" w:right="0" w:hanging="180"/>
              <w:jc w:val="left"/>
              <w:rPr/>
            </w:pPr>
            <w:r>
              <w:rPr/>
              <w:t> </w:t>
            </w:r>
          </w:p>
        </w:tc>
      </w:tr>
      <w:tr>
        <w:trPr/>
        <w:tc>
          <w:tcPr>
            <w:tcW w:w="693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224</w:t>
            </w:r>
          </w:p>
        </w:tc>
        <w:tc>
          <w:tcPr>
            <w:tcW w:w="2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205</w:t>
            </w:r>
          </w:p>
        </w:tc>
        <w:tc>
          <w:tcPr>
            <w:tcW w:w="275" w:type="dxa"/>
            <w:tcBorders/>
            <w:shd w:fill="CCEEFF" w:val="clear"/>
            <w:vAlign w:val="center"/>
          </w:tcPr>
          <w:p>
            <w:pPr>
              <w:pStyle w:val="TableContents"/>
              <w:bidi w:val="0"/>
              <w:spacing w:before="0" w:after="283"/>
              <w:ind w:left="0" w:right="0" w:hanging="180"/>
              <w:jc w:val="left"/>
              <w:rPr/>
            </w:pPr>
            <w:r>
              <w:rPr/>
              <w:t> </w:t>
            </w:r>
          </w:p>
        </w:tc>
      </w:tr>
      <w:tr>
        <w:trPr/>
        <w:tc>
          <w:tcPr>
            <w:tcW w:w="6935" w:type="dxa"/>
            <w:tcBorders/>
            <w:shd w:fill="FFFFFF" w:val="clear"/>
            <w:vAlign w:val="center"/>
          </w:tcPr>
          <w:p>
            <w:pPr>
              <w:pStyle w:val="TableContents"/>
              <w:bidi w:val="0"/>
              <w:spacing w:before="0" w:after="283"/>
              <w:jc w:val="left"/>
              <w:rPr>
                <w:b/>
              </w:rPr>
            </w:pPr>
            <w:r>
              <w:rPr>
                <w:b/>
              </w:rPr>
              <w:t>EBITDA</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75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3,354</w:t>
            </w:r>
          </w:p>
        </w:tc>
        <w:tc>
          <w:tcPr>
            <w:tcW w:w="2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75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2,310</w:t>
            </w:r>
          </w:p>
        </w:tc>
        <w:tc>
          <w:tcPr>
            <w:tcW w:w="275" w:type="dxa"/>
            <w:tcBorders/>
            <w:shd w:fill="FFFFFF" w:val="clear"/>
            <w:vAlign w:val="center"/>
          </w:tcPr>
          <w:p>
            <w:pPr>
              <w:pStyle w:val="TableContents"/>
              <w:bidi w:val="0"/>
              <w:spacing w:before="0" w:after="283"/>
              <w:ind w:left="0" w:right="0" w:hanging="180"/>
              <w:jc w:val="left"/>
              <w:rPr/>
            </w:pPr>
            <w:r>
              <w:rPr/>
              <w:t> </w:t>
            </w:r>
          </w:p>
        </w:tc>
      </w:tr>
      <w:tr>
        <w:trPr/>
        <w:tc>
          <w:tcPr>
            <w:tcW w:w="6935" w:type="dxa"/>
            <w:tcBorders/>
            <w:shd w:fill="CCEEFF" w:val="clear"/>
            <w:vAlign w:val="center"/>
          </w:tcPr>
          <w:p>
            <w:pPr>
              <w:pStyle w:val="TableContents"/>
              <w:bidi w:val="0"/>
              <w:spacing w:before="0" w:after="283"/>
              <w:jc w:val="left"/>
              <w:rPr/>
            </w:pPr>
            <w:r>
              <w:rPr/>
              <w:t>Adjustments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2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hanging="180"/>
              <w:jc w:val="left"/>
              <w:rPr/>
            </w:pPr>
            <w:r>
              <w:rPr/>
              <w:t> </w:t>
            </w:r>
          </w:p>
        </w:tc>
      </w:tr>
      <w:tr>
        <w:trPr/>
        <w:tc>
          <w:tcPr>
            <w:tcW w:w="6935" w:type="dxa"/>
            <w:tcBorders/>
            <w:shd w:fill="FFFFFF" w:val="clear"/>
            <w:vAlign w:val="center"/>
          </w:tcPr>
          <w:p>
            <w:pPr>
              <w:pStyle w:val="TableContents"/>
              <w:bidi w:val="0"/>
              <w:spacing w:before="0" w:after="283"/>
              <w:jc w:val="left"/>
              <w:rPr/>
            </w:pPr>
            <w:r>
              <w:rPr/>
              <w:t>(+) Stock-based compensation</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710</w:t>
            </w:r>
          </w:p>
        </w:tc>
        <w:tc>
          <w:tcPr>
            <w:tcW w:w="2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ind w:left="0" w:right="0" w:hanging="180"/>
              <w:jc w:val="left"/>
              <w:rPr/>
            </w:pPr>
            <w:r>
              <w:rPr/>
              <w:t> </w:t>
            </w:r>
          </w:p>
        </w:tc>
      </w:tr>
      <w:tr>
        <w:trPr/>
        <w:tc>
          <w:tcPr>
            <w:tcW w:w="6935" w:type="dxa"/>
            <w:tcBorders/>
            <w:shd w:fill="CCEEFF" w:val="clear"/>
            <w:vAlign w:val="center"/>
          </w:tcPr>
          <w:p>
            <w:pPr>
              <w:pStyle w:val="TableContents"/>
              <w:bidi w:val="0"/>
              <w:spacing w:before="0" w:after="283"/>
              <w:jc w:val="left"/>
              <w:rPr/>
            </w:pPr>
            <w:r>
              <w:rPr/>
              <w:t>(+) Gain on settlement of forward purchase agreement put option liability</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2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(1,278</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6935" w:type="dxa"/>
            <w:tcBorders/>
            <w:shd w:fill="FFFFFF" w:val="clear"/>
            <w:vAlign w:val="center"/>
          </w:tcPr>
          <w:p>
            <w:pPr>
              <w:pStyle w:val="TableContents"/>
              <w:bidi w:val="0"/>
              <w:spacing w:before="0" w:after="283"/>
              <w:jc w:val="left"/>
              <w:rPr>
                <w:b/>
              </w:rPr>
            </w:pPr>
            <w:r>
              <w:rPr>
                <w:b/>
              </w:rPr>
              <w:t>Adjusted EBITDA</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75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4,071</w:t>
            </w:r>
          </w:p>
        </w:tc>
        <w:tc>
          <w:tcPr>
            <w:tcW w:w="2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75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1,032</w:t>
            </w:r>
          </w:p>
        </w:tc>
        <w:tc>
          <w:tcPr>
            <w:tcW w:w="275" w:type="dxa"/>
            <w:tcBorders/>
            <w:shd w:fill="FFFFFF" w:val="clear"/>
            <w:vAlign w:val="center"/>
          </w:tcPr>
          <w:p>
            <w:pPr>
              <w:pStyle w:val="TableContents"/>
              <w:bidi w:val="0"/>
              <w:spacing w:before="0" w:after="283"/>
              <w:ind w:left="0" w:right="0" w:hanging="180"/>
              <w:jc w:val="left"/>
              <w:rPr/>
            </w:pPr>
            <w:r>
              <w:rPr/>
              <w:t> </w:t>
            </w:r>
          </w:p>
        </w:tc>
      </w:tr>
      <w:tr>
        <w:trPr/>
        <w:tc>
          <w:tcPr>
            <w:tcW w:w="6935"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b/>
              </w:rPr>
            </w:pPr>
            <w:r>
              <w:rPr>
                <w:b/>
              </w:rPr>
              <w:t>21,918</w:t>
            </w:r>
          </w:p>
        </w:tc>
        <w:tc>
          <w:tcPr>
            <w:tcW w:w="2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b/>
              </w:rPr>
            </w:pPr>
            <w:r>
              <w:rPr>
                <w:b/>
              </w:rPr>
              <w:t>15,330</w:t>
            </w:r>
          </w:p>
        </w:tc>
        <w:tc>
          <w:tcPr>
            <w:tcW w:w="275" w:type="dxa"/>
            <w:tcBorders/>
            <w:shd w:fill="CCEEFF" w:val="clear"/>
            <w:vAlign w:val="center"/>
          </w:tcPr>
          <w:p>
            <w:pPr>
              <w:pStyle w:val="TableContents"/>
              <w:bidi w:val="0"/>
              <w:spacing w:before="0" w:after="283"/>
              <w:ind w:left="0" w:right="0" w:hanging="180"/>
              <w:jc w:val="left"/>
              <w:rPr/>
            </w:pPr>
            <w:r>
              <w:rPr/>
              <w:t> </w:t>
            </w:r>
          </w:p>
        </w:tc>
      </w:tr>
      <w:tr>
        <w:trPr/>
        <w:tc>
          <w:tcPr>
            <w:tcW w:w="6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 </w:t>
            </w:r>
          </w:p>
        </w:tc>
        <w:tc>
          <w:tcPr>
            <w:tcW w:w="2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r>
      <w:tr>
        <w:trPr/>
        <w:tc>
          <w:tcPr>
            <w:tcW w:w="6935" w:type="dxa"/>
            <w:tcBorders/>
            <w:shd w:fill="CCEEFF" w:val="clear"/>
            <w:vAlign w:val="center"/>
          </w:tcPr>
          <w:p>
            <w:pPr>
              <w:pStyle w:val="TableContents"/>
              <w:bidi w:val="0"/>
              <w:spacing w:before="0" w:after="283"/>
              <w:jc w:val="left"/>
              <w:rPr>
                <w:b/>
              </w:rPr>
            </w:pPr>
            <w:r>
              <w:rPr>
                <w:b/>
              </w:rPr>
              <w:t>Adjusted EBITDA margin [Adjusted EBITDA / Revenue]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b/>
              </w:rPr>
            </w:pPr>
            <w:r>
              <w:rPr>
                <w:b/>
              </w:rPr>
              <w:t>18.6</w:t>
            </w:r>
          </w:p>
        </w:tc>
        <w:tc>
          <w:tcPr>
            <w:tcW w:w="289" w:type="dxa"/>
            <w:tcBorders/>
            <w:shd w:fill="CCEEFF" w:val="clear"/>
            <w:vAlign w:val="center"/>
          </w:tcPr>
          <w:p>
            <w:pPr>
              <w:pStyle w:val="TableContents"/>
              <w:bidi w:val="0"/>
              <w:spacing w:before="0" w:after="283"/>
              <w:jc w:val="left"/>
              <w:rPr>
                <w:b/>
              </w:rPr>
            </w:pPr>
            <w:r>
              <w:rPr>
                <w:b/>
              </w:rPr>
              <w:t>%</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b/>
              </w:rPr>
            </w:pPr>
            <w:r>
              <w:rPr>
                <w:b/>
              </w:rPr>
              <w:t>6.7</w:t>
            </w:r>
          </w:p>
        </w:tc>
        <w:tc>
          <w:tcPr>
            <w:tcW w:w="275" w:type="dxa"/>
            <w:tcBorders/>
            <w:shd w:fill="CCEEFF" w:val="clear"/>
            <w:vAlign w:val="center"/>
          </w:tcPr>
          <w:p>
            <w:pPr>
              <w:pStyle w:val="TableContents"/>
              <w:bidi w:val="0"/>
              <w:spacing w:before="0" w:after="283"/>
              <w:jc w:val="left"/>
              <w:rPr>
                <w:b/>
              </w:rPr>
            </w:pPr>
            <w:r>
              <w:rPr>
                <w:b/>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 OF CASH FLOW</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63"/>
        <w:gridCol w:w="60"/>
        <w:gridCol w:w="177"/>
        <w:gridCol w:w="803"/>
        <w:gridCol w:w="119"/>
        <w:gridCol w:w="75"/>
        <w:gridCol w:w="177"/>
        <w:gridCol w:w="803"/>
        <w:gridCol w:w="95"/>
        <w:gridCol w:w="60"/>
        <w:gridCol w:w="179"/>
        <w:gridCol w:w="816"/>
        <w:gridCol w:w="95"/>
        <w:gridCol w:w="60"/>
        <w:gridCol w:w="129"/>
        <w:gridCol w:w="986"/>
        <w:gridCol w:w="308"/>
      </w:tblGrid>
      <w:tr>
        <w:trPr/>
        <w:tc>
          <w:tcPr>
            <w:tcW w:w="526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5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9" w:type="dxa"/>
            <w:tcBorders/>
            <w:vAlign w:val="center"/>
          </w:tcPr>
          <w:p>
            <w:pPr>
              <w:pStyle w:val="TableContents"/>
              <w:bidi w:val="0"/>
              <w:spacing w:before="0" w:after="283"/>
              <w:jc w:val="center"/>
              <w:rPr/>
            </w:pPr>
            <w:r>
              <w:rPr/>
              <w:t> </w:t>
            </w:r>
          </w:p>
        </w:tc>
        <w:tc>
          <w:tcPr>
            <w:tcW w:w="816"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pPr>
            <w:r>
              <w:rPr/>
              <w:t> </w:t>
            </w:r>
          </w:p>
        </w:tc>
        <w:tc>
          <w:tcPr>
            <w:tcW w:w="308" w:type="dxa"/>
            <w:tcBorders/>
            <w:vAlign w:val="center"/>
          </w:tcPr>
          <w:p>
            <w:pPr>
              <w:pStyle w:val="TableContents"/>
              <w:bidi w:val="0"/>
              <w:spacing w:before="0" w:after="283"/>
              <w:jc w:val="center"/>
              <w:rPr/>
            </w:pPr>
            <w:r>
              <w:rPr/>
              <w:t> </w:t>
            </w:r>
          </w:p>
        </w:tc>
      </w:tr>
      <w:tr>
        <w:trPr/>
        <w:tc>
          <w:tcPr>
            <w:tcW w:w="526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98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2026</w:t>
            </w:r>
          </w:p>
        </w:tc>
        <w:tc>
          <w:tcPr>
            <w:tcW w:w="119"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center"/>
              <w:rPr/>
            </w:pPr>
            <w:r>
              <w:rPr/>
              <w:t> </w:t>
            </w:r>
          </w:p>
        </w:tc>
        <w:tc>
          <w:tcPr>
            <w:tcW w:w="98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99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Change</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Change</w:t>
            </w:r>
          </w:p>
        </w:tc>
        <w:tc>
          <w:tcPr>
            <w:tcW w:w="308" w:type="dxa"/>
            <w:tcBorders/>
            <w:shd w:fill="FFFFFF" w:val="clear"/>
            <w:vAlign w:val="center"/>
          </w:tcPr>
          <w:p>
            <w:pPr>
              <w:pStyle w:val="TableContents"/>
              <w:bidi w:val="0"/>
              <w:spacing w:before="0" w:after="283"/>
              <w:ind w:left="0" w:right="0" w:hanging="180"/>
              <w:jc w:val="center"/>
              <w:rPr/>
            </w:pPr>
            <w:r>
              <w:rPr/>
              <w:t> </w:t>
            </w:r>
          </w:p>
        </w:tc>
      </w:tr>
      <w:tr>
        <w:trPr/>
        <w:tc>
          <w:tcPr>
            <w:tcW w:w="5263" w:type="dxa"/>
            <w:tcBorders/>
            <w:shd w:fill="CCEEFF" w:val="clear"/>
            <w:vAlign w:val="center"/>
          </w:tcPr>
          <w:p>
            <w:pPr>
              <w:pStyle w:val="TableContents"/>
              <w:bidi w:val="0"/>
              <w:spacing w:before="0" w:after="283"/>
              <w:jc w:val="left"/>
              <w:rPr>
                <w:b/>
              </w:rPr>
            </w:pPr>
            <w:r>
              <w:rPr>
                <w:b/>
              </w:rPr>
              <w:t>Cash and Cash Equivalent at the beginning of period</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b/>
              </w:rPr>
            </w:pPr>
            <w:r>
              <w:rPr>
                <w:b/>
              </w:rPr>
              <w:t>$</w:t>
            </w:r>
          </w:p>
        </w:tc>
        <w:tc>
          <w:tcPr>
            <w:tcW w:w="803" w:type="dxa"/>
            <w:tcBorders/>
            <w:shd w:fill="CCEEFF" w:val="clear"/>
            <w:vAlign w:val="center"/>
          </w:tcPr>
          <w:p>
            <w:pPr>
              <w:pStyle w:val="TableContents"/>
              <w:bidi w:val="0"/>
              <w:spacing w:before="0" w:after="283"/>
              <w:jc w:val="right"/>
              <w:rPr>
                <w:b/>
              </w:rPr>
            </w:pPr>
            <w:r>
              <w:rPr>
                <w:b/>
              </w:rPr>
              <w:t>4,878</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b/>
              </w:rPr>
            </w:pPr>
            <w:r>
              <w:rPr>
                <w:b/>
              </w:rPr>
              <w:t>$</w:t>
            </w:r>
          </w:p>
        </w:tc>
        <w:tc>
          <w:tcPr>
            <w:tcW w:w="803" w:type="dxa"/>
            <w:tcBorders/>
            <w:shd w:fill="CCEEFF" w:val="clear"/>
            <w:vAlign w:val="center"/>
          </w:tcPr>
          <w:p>
            <w:pPr>
              <w:pStyle w:val="TableContents"/>
              <w:bidi w:val="0"/>
              <w:spacing w:before="0" w:after="283"/>
              <w:jc w:val="right"/>
              <w:rPr>
                <w:b/>
              </w:rPr>
            </w:pPr>
            <w:r>
              <w:rPr>
                <w:b/>
              </w:rPr>
              <w:t>2,764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b/>
              </w:rPr>
            </w:pPr>
            <w:r>
              <w:rPr>
                <w:b/>
              </w:rPr>
              <w:t>$</w:t>
            </w:r>
          </w:p>
        </w:tc>
        <w:tc>
          <w:tcPr>
            <w:tcW w:w="816" w:type="dxa"/>
            <w:tcBorders/>
            <w:shd w:fill="CCEEFF" w:val="clear"/>
            <w:vAlign w:val="center"/>
          </w:tcPr>
          <w:p>
            <w:pPr>
              <w:pStyle w:val="TableContents"/>
              <w:bidi w:val="0"/>
              <w:spacing w:before="0" w:after="283"/>
              <w:jc w:val="right"/>
              <w:rPr>
                <w:b/>
              </w:rPr>
            </w:pPr>
            <w:r>
              <w:rPr>
                <w:b/>
              </w:rPr>
              <w:t>2,114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b/>
              </w:rPr>
            </w:pPr>
            <w:r>
              <w:rPr>
                <w:b/>
              </w:rPr>
              <w:t>76</w:t>
            </w:r>
          </w:p>
        </w:tc>
        <w:tc>
          <w:tcPr>
            <w:tcW w:w="308" w:type="dxa"/>
            <w:tcBorders/>
            <w:shd w:fill="CCEEFF" w:val="clear"/>
            <w:vAlign w:val="center"/>
          </w:tcPr>
          <w:p>
            <w:pPr>
              <w:pStyle w:val="TableContents"/>
              <w:bidi w:val="0"/>
              <w:spacing w:before="0" w:after="283"/>
              <w:ind w:left="0" w:right="0" w:hanging="180"/>
              <w:jc w:val="left"/>
              <w:rPr>
                <w:b/>
              </w:rPr>
            </w:pPr>
            <w:r>
              <w:rPr>
                <w:b/>
              </w:rPr>
              <w:t>%</w:t>
            </w:r>
          </w:p>
        </w:tc>
      </w:tr>
      <w:tr>
        <w:trPr/>
        <w:tc>
          <w:tcPr>
            <w:tcW w:w="5263"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4,824</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1,369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3,455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252</w:t>
            </w:r>
          </w:p>
        </w:tc>
        <w:tc>
          <w:tcPr>
            <w:tcW w:w="308" w:type="dxa"/>
            <w:tcBorders/>
            <w:shd w:fill="FFFFFF" w:val="clear"/>
            <w:vAlign w:val="center"/>
          </w:tcPr>
          <w:p>
            <w:pPr>
              <w:pStyle w:val="TableContents"/>
              <w:bidi w:val="0"/>
              <w:spacing w:before="0" w:after="283"/>
              <w:ind w:left="0" w:right="0" w:hanging="180"/>
              <w:jc w:val="left"/>
              <w:rPr/>
            </w:pPr>
            <w:r>
              <w:rPr/>
              <w:t>%</w:t>
            </w:r>
          </w:p>
        </w:tc>
      </w:tr>
      <w:tr>
        <w:trPr/>
        <w:tc>
          <w:tcPr>
            <w:tcW w:w="5263"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(278</w:t>
            </w:r>
          </w:p>
        </w:tc>
        <w:tc>
          <w:tcPr>
            <w:tcW w:w="119" w:type="dxa"/>
            <w:tcBorders/>
            <w:shd w:fill="CCEEFF" w:val="clear"/>
            <w:vAlign w:val="center"/>
          </w:tcPr>
          <w:p>
            <w:pPr>
              <w:pStyle w:val="TableContents"/>
              <w:bidi w:val="0"/>
              <w:spacing w:before="0" w:after="283"/>
              <w:jc w:val="left"/>
              <w:rPr/>
            </w:pPr>
            <w:r>
              <w:rPr/>
              <w:t>)</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(868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590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86</w:t>
            </w:r>
          </w:p>
        </w:tc>
        <w:tc>
          <w:tcPr>
            <w:tcW w:w="308" w:type="dxa"/>
            <w:tcBorders/>
            <w:shd w:fill="CCEEFF" w:val="clear"/>
            <w:vAlign w:val="center"/>
          </w:tcPr>
          <w:p>
            <w:pPr>
              <w:pStyle w:val="TableContents"/>
              <w:bidi w:val="0"/>
              <w:spacing w:before="0" w:after="283"/>
              <w:ind w:left="0" w:right="0" w:hanging="180"/>
              <w:jc w:val="left"/>
              <w:rPr/>
            </w:pPr>
            <w:r>
              <w:rPr/>
              <w:t>%</w:t>
            </w:r>
          </w:p>
        </w:tc>
      </w:tr>
      <w:tr>
        <w:trPr/>
        <w:tc>
          <w:tcPr>
            <w:tcW w:w="5263"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(3,357</w:t>
            </w:r>
          </w:p>
        </w:tc>
        <w:tc>
          <w:tcPr>
            <w:tcW w:w="119" w:type="dxa"/>
            <w:tcBorders/>
            <w:shd w:fill="FFFFFF" w:val="clear"/>
            <w:vAlign w:val="center"/>
          </w:tcPr>
          <w:p>
            <w:pPr>
              <w:pStyle w:val="TableContents"/>
              <w:bidi w:val="0"/>
              <w:spacing w:before="0" w:after="283"/>
              <w:jc w:val="left"/>
              <w:rPr/>
            </w:pPr>
            <w:r>
              <w:rPr/>
              <w:t>)</w:t>
            </w:r>
          </w:p>
        </w:tc>
        <w:tc>
          <w:tcPr>
            <w:tcW w:w="75"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(1,148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(2,209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(192</w:t>
            </w:r>
          </w:p>
        </w:tc>
        <w:tc>
          <w:tcPr>
            <w:tcW w:w="308" w:type="dxa"/>
            <w:tcBorders/>
            <w:shd w:fill="FFFFFF" w:val="clear"/>
            <w:vAlign w:val="center"/>
          </w:tcPr>
          <w:p>
            <w:pPr>
              <w:pStyle w:val="TableContents"/>
              <w:bidi w:val="0"/>
              <w:spacing w:before="0" w:after="283"/>
              <w:ind w:left="0" w:right="0" w:hanging="180"/>
              <w:jc w:val="left"/>
              <w:rPr/>
            </w:pPr>
            <w:r>
              <w:rPr/>
              <w:t>)%</w:t>
            </w:r>
          </w:p>
        </w:tc>
      </w:tr>
      <w:tr>
        <w:trPr/>
        <w:tc>
          <w:tcPr>
            <w:tcW w:w="5263" w:type="dxa"/>
            <w:tcBorders/>
            <w:shd w:fill="CCEEFF" w:val="clear"/>
            <w:vAlign w:val="center"/>
          </w:tcPr>
          <w:p>
            <w:pPr>
              <w:pStyle w:val="TableContents"/>
              <w:bidi w:val="0"/>
              <w:spacing w:before="0" w:after="283"/>
              <w:jc w:val="left"/>
              <w:rPr/>
            </w:pPr>
            <w:r>
              <w:rPr/>
              <w:t>Effects of exchange rates on cash</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6" w:type="dxa"/>
            <w:tcBorders>
              <w:bottom w:val="single" w:sz="8" w:space="0" w:color="000000"/>
            </w:tcBorders>
            <w:shd w:fill="CCEEFF" w:val="clear"/>
            <w:tcMar>
              <w:bottom w:w="28" w:type="dxa"/>
            </w:tcM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pPr>
            <w:r>
              <w:rPr/>
              <w:t>(90</w:t>
            </w:r>
          </w:p>
        </w:tc>
        <w:tc>
          <w:tcPr>
            <w:tcW w:w="308" w:type="dxa"/>
            <w:tcBorders/>
            <w:shd w:fill="CCEEFF" w:val="clear"/>
            <w:vAlign w:val="center"/>
          </w:tcPr>
          <w:p>
            <w:pPr>
              <w:pStyle w:val="TableContents"/>
              <w:bidi w:val="0"/>
              <w:spacing w:before="0" w:after="283"/>
              <w:ind w:left="0" w:right="0" w:hanging="180"/>
              <w:jc w:val="left"/>
              <w:rPr/>
            </w:pPr>
            <w:r>
              <w:rPr/>
              <w:t>)%</w:t>
            </w:r>
          </w:p>
        </w:tc>
      </w:tr>
      <w:tr>
        <w:trPr/>
        <w:tc>
          <w:tcPr>
            <w:tcW w:w="5263" w:type="dxa"/>
            <w:tcBorders/>
            <w:shd w:fill="FFFFFF" w:val="clear"/>
            <w:vAlign w:val="center"/>
          </w:tcPr>
          <w:p>
            <w:pPr>
              <w:pStyle w:val="TableContents"/>
              <w:bidi w:val="0"/>
              <w:spacing w:before="0" w:after="283"/>
              <w:jc w:val="left"/>
              <w:rPr>
                <w:b/>
              </w:rPr>
            </w:pPr>
            <w:r>
              <w:rPr>
                <w:b/>
              </w:rPr>
              <w:t>Cash and Cash Equivalent at the end of period</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0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6,069</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0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1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3,932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184</w:t>
            </w:r>
          </w:p>
        </w:tc>
        <w:tc>
          <w:tcPr>
            <w:tcW w:w="308" w:type="dxa"/>
            <w:tcBorders/>
            <w:shd w:fill="FFFFFF" w:val="clear"/>
            <w:vAlign w:val="center"/>
          </w:tcPr>
          <w:p>
            <w:pPr>
              <w:pStyle w:val="TableContents"/>
              <w:bidi w:val="0"/>
              <w:spacing w:before="0" w:after="283"/>
              <w:jc w:val="left"/>
              <w:rPr>
                <w:b/>
              </w:rPr>
            </w:pPr>
            <w:r>
              <w:rPr>
                <w:b/>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38"/>
        <w:gridCol w:w="60"/>
        <w:gridCol w:w="140"/>
        <w:gridCol w:w="755"/>
        <w:gridCol w:w="95"/>
        <w:gridCol w:w="60"/>
        <w:gridCol w:w="167"/>
        <w:gridCol w:w="903"/>
        <w:gridCol w:w="87"/>
      </w:tblGrid>
      <w:tr>
        <w:trPr/>
        <w:tc>
          <w:tcPr>
            <w:tcW w:w="79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June 30,</w:t>
              <w:b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March 31,</w:t>
              <w:br/>
              <w:t>2026</w:t>
            </w:r>
          </w:p>
        </w:tc>
        <w:tc>
          <w:tcPr>
            <w:tcW w:w="87" w:type="dxa"/>
            <w:tcBorders/>
            <w:vAlign w:val="center"/>
          </w:tcPr>
          <w:p>
            <w:pPr>
              <w:pStyle w:val="TableContents"/>
              <w:bidi w:val="0"/>
              <w:spacing w:before="0" w:after="283"/>
              <w:jc w:val="center"/>
              <w:rPr/>
            </w:pPr>
            <w:r>
              <w:rPr/>
              <w:t> </w:t>
            </w:r>
          </w:p>
        </w:tc>
      </w:tr>
      <w:tr>
        <w:trPr/>
        <w:tc>
          <w:tcPr>
            <w:tcW w:w="7938"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7938"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938"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6,069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903" w:type="dxa"/>
            <w:tcBorders/>
            <w:shd w:fill="CCEEFF" w:val="clear"/>
            <w:vAlign w:val="center"/>
          </w:tcPr>
          <w:p>
            <w:pPr>
              <w:pStyle w:val="TableContents"/>
              <w:bidi w:val="0"/>
              <w:spacing w:before="0" w:after="283"/>
              <w:jc w:val="right"/>
              <w:rPr/>
            </w:pPr>
            <w:r>
              <w:rPr/>
              <w:t>4,878</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938" w:type="dxa"/>
            <w:tcBorders/>
            <w:shd w:fill="FFFFFF" w:val="clear"/>
            <w:vAlign w:val="center"/>
          </w:tcPr>
          <w:p>
            <w:pPr>
              <w:pStyle w:val="TableContents"/>
              <w:bidi w:val="0"/>
              <w:spacing w:before="0" w:after="283"/>
              <w:jc w:val="left"/>
              <w:rPr/>
            </w:pPr>
            <w:r>
              <w:rPr/>
              <w:t>Accounts receivable, net of allowance of $1,349 and $1,335 as of June 30, 2026, and March 31, 2026,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12,430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12,719</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938" w:type="dxa"/>
            <w:tcBorders/>
            <w:shd w:fill="CCEEFF" w:val="clear"/>
            <w:vAlign w:val="center"/>
          </w:tcPr>
          <w:p>
            <w:pPr>
              <w:pStyle w:val="TableContents"/>
              <w:bidi w:val="0"/>
              <w:spacing w:before="0" w:after="283"/>
              <w:jc w:val="left"/>
              <w:rPr/>
            </w:pPr>
            <w:r>
              <w:rPr/>
              <w:t>Prepaid expenses and other current assets, net of allowance of $1 and $0, as of June 30, 2026, and March 31, 2026,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6,383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6,170</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938" w:type="dxa"/>
            <w:tcBorders/>
            <w:shd w:fill="FFFFFF" w:val="clear"/>
            <w:vAlign w:val="center"/>
          </w:tcPr>
          <w:p>
            <w:pPr>
              <w:pStyle w:val="TableContents"/>
              <w:bidi w:val="0"/>
              <w:spacing w:before="0" w:after="283"/>
              <w:jc w:val="left"/>
              <w:rPr/>
            </w:pPr>
            <w:r>
              <w:rPr/>
              <w:t>Deferred transactions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125</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938"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25,007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23,892</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938"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1,750</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938" w:type="dxa"/>
            <w:tcBorders/>
            <w:shd w:fill="CCEEFF" w:val="clear"/>
            <w:vAlign w:val="center"/>
          </w:tcPr>
          <w:p>
            <w:pPr>
              <w:pStyle w:val="TableContents"/>
              <w:bidi w:val="0"/>
              <w:spacing w:before="0" w:after="283"/>
              <w:jc w:val="left"/>
              <w:rPr/>
            </w:pPr>
            <w:r>
              <w:rPr/>
              <w:t>Operating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8,608</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938" w:type="dxa"/>
            <w:tcBorders/>
            <w:shd w:fill="FFFFFF" w:val="clear"/>
            <w:vAlign w:val="center"/>
          </w:tcPr>
          <w:p>
            <w:pPr>
              <w:pStyle w:val="TableContents"/>
              <w:bidi w:val="0"/>
              <w:spacing w:before="0" w:after="283"/>
              <w:jc w:val="left"/>
              <w:rPr/>
            </w:pPr>
            <w:r>
              <w:rPr/>
              <w:t>Deferred tax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4,124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3,689</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938" w:type="dxa"/>
            <w:tcBorders/>
            <w:shd w:fill="CCEEFF" w:val="clear"/>
            <w:vAlign w:val="center"/>
          </w:tcPr>
          <w:p>
            <w:pPr>
              <w:pStyle w:val="TableContents"/>
              <w:bidi w:val="0"/>
              <w:spacing w:before="0" w:after="283"/>
              <w:jc w:val="left"/>
              <w:rPr/>
            </w:pPr>
            <w:r>
              <w:rPr/>
              <w:t>Long-term investments, net of allowance of $52 and $76, as of June 30, 2026, and March 31, 2026,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1,896</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938"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2,059</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938"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41,188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0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41,894</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9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938" w:type="dxa"/>
            <w:tcBorders/>
            <w:shd w:fill="CCEEFF" w:val="clear"/>
            <w:vAlign w:val="center"/>
          </w:tcPr>
          <w:p>
            <w:pPr>
              <w:pStyle w:val="TableContents"/>
              <w:bidi w:val="0"/>
              <w:spacing w:before="0" w:after="283"/>
              <w:jc w:val="left"/>
              <w:rPr>
                <w:b/>
              </w:rPr>
            </w:pPr>
            <w:r>
              <w:rPr>
                <w:b/>
              </w:rPr>
              <w:t>LIABILITIES, REDEEMABLE NONCONTROLLING INTEREST AND SHAREHOLDERS’ EQUITY /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938"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938"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8,873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903" w:type="dxa"/>
            <w:tcBorders/>
            <w:shd w:fill="CCEEFF" w:val="clear"/>
            <w:vAlign w:val="center"/>
          </w:tcPr>
          <w:p>
            <w:pPr>
              <w:pStyle w:val="TableContents"/>
              <w:bidi w:val="0"/>
              <w:spacing w:before="0" w:after="283"/>
              <w:jc w:val="right"/>
              <w:rPr/>
            </w:pPr>
            <w:r>
              <w:rPr/>
              <w:t>9,270</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938" w:type="dxa"/>
            <w:tcBorders/>
            <w:shd w:fill="FFFFFF" w:val="clear"/>
            <w:vAlign w:val="center"/>
          </w:tcPr>
          <w:p>
            <w:pPr>
              <w:pStyle w:val="TableContents"/>
              <w:bidi w:val="0"/>
              <w:spacing w:before="0" w:after="283"/>
              <w:jc w:val="left"/>
              <w:rPr/>
            </w:pPr>
            <w:r>
              <w:rPr/>
              <w:t>Accrued compensation and related benefits,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3,568</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938"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2,694</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938" w:type="dxa"/>
            <w:tcBorders/>
            <w:shd w:fill="FFFFFF" w:val="clear"/>
            <w:vAlign w:val="center"/>
          </w:tcPr>
          <w:p>
            <w:pPr>
              <w:pStyle w:val="TableContents"/>
              <w:bidi w:val="0"/>
              <w:spacing w:before="0" w:after="283"/>
              <w:jc w:val="left"/>
              <w:rPr/>
            </w:pPr>
            <w:r>
              <w:rPr/>
              <w:t>Short-term borrowings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3,275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4,436</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938" w:type="dxa"/>
            <w:tcBorders/>
            <w:shd w:fill="CCEEFF" w:val="clear"/>
            <w:vAlign w:val="center"/>
          </w:tcPr>
          <w:p>
            <w:pPr>
              <w:pStyle w:val="TableContents"/>
              <w:bidi w:val="0"/>
              <w:spacing w:before="0" w:after="283"/>
              <w:jc w:val="left"/>
              <w:rPr/>
            </w:pPr>
            <w:r>
              <w:rPr/>
              <w:t>Forward purchase agreement put option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4,287</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938"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9,577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6,434</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938"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30,689</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938" w:type="dxa"/>
            <w:tcBorders/>
            <w:shd w:fill="FFFFFF" w:val="clear"/>
            <w:vAlign w:val="center"/>
          </w:tcPr>
          <w:p>
            <w:pPr>
              <w:pStyle w:val="TableContents"/>
              <w:bidi w:val="0"/>
              <w:spacing w:before="0" w:after="283"/>
              <w:jc w:val="left"/>
              <w:rPr/>
            </w:pPr>
            <w:r>
              <w:rPr/>
              <w:t>Long term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798</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938"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5,796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6,358</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938" w:type="dxa"/>
            <w:tcBorders/>
            <w:shd w:fill="FFFFFF" w:val="clear"/>
            <w:vAlign w:val="center"/>
          </w:tcPr>
          <w:p>
            <w:pPr>
              <w:pStyle w:val="TableContents"/>
              <w:bidi w:val="0"/>
              <w:spacing w:before="0" w:after="283"/>
              <w:jc w:val="left"/>
              <w:rPr/>
            </w:pPr>
            <w:r>
              <w:rPr/>
              <w:t>Derivative 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421</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938"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197</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938" w:type="dxa"/>
            <w:tcBorders/>
            <w:shd w:fill="FFFFFF" w:val="clear"/>
            <w:vAlign w:val="center"/>
          </w:tcPr>
          <w:p>
            <w:pPr>
              <w:pStyle w:val="TableContents"/>
              <w:bidi w:val="0"/>
              <w:spacing w:before="0" w:after="283"/>
              <w:jc w:val="left"/>
              <w:rPr/>
            </w:pPr>
            <w:r>
              <w:rPr/>
              <w:t>Other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6,396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6,016</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938"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0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44,479</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9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938"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9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938" w:type="dxa"/>
            <w:tcBorders/>
            <w:shd w:fill="CCEEFF" w:val="clear"/>
            <w:vAlign w:val="center"/>
          </w:tcPr>
          <w:p>
            <w:pPr>
              <w:pStyle w:val="TableContents"/>
              <w:bidi w:val="0"/>
              <w:spacing w:before="0" w:after="283"/>
              <w:jc w:val="left"/>
              <w:rPr>
                <w:b/>
              </w:rPr>
            </w:pPr>
            <w:r>
              <w:rPr>
                <w:b/>
              </w:rPr>
              <w:t>Redeemable noncontrolling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757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b/>
              </w:rPr>
            </w:pPr>
            <w:r>
              <w:rPr>
                <w:b/>
              </w:rPr>
              <w:t>448</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9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938" w:type="dxa"/>
            <w:tcBorders/>
            <w:shd w:fill="CCEEFF" w:val="clear"/>
            <w:vAlign w:val="center"/>
          </w:tcPr>
          <w:p>
            <w:pPr>
              <w:pStyle w:val="TableContents"/>
              <w:bidi w:val="0"/>
              <w:spacing w:before="0" w:after="283"/>
              <w:jc w:val="left"/>
              <w:rPr>
                <w:b/>
              </w:rPr>
            </w:pPr>
            <w:r>
              <w:rPr>
                <w:b/>
              </w:rPr>
              <w:t>Shareholders’ equity /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938" w:type="dxa"/>
            <w:tcBorders/>
            <w:shd w:fill="FFFFFF" w:val="clear"/>
            <w:vAlign w:val="center"/>
          </w:tcPr>
          <w:p>
            <w:pPr>
              <w:pStyle w:val="TableContents"/>
              <w:bidi w:val="0"/>
              <w:spacing w:before="0" w:after="283"/>
              <w:jc w:val="left"/>
              <w:rPr/>
            </w:pPr>
            <w:r>
              <w:rPr/>
              <w:t>Preference shares, $0.0001 par value; 5,000,000 shares authorized; none issued or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938" w:type="dxa"/>
            <w:tcBorders/>
            <w:shd w:fill="CCEEFF" w:val="clear"/>
            <w:vAlign w:val="center"/>
          </w:tcPr>
          <w:p>
            <w:pPr>
              <w:pStyle w:val="TableContents"/>
              <w:bidi w:val="0"/>
              <w:spacing w:before="0" w:after="283"/>
              <w:jc w:val="left"/>
              <w:rPr/>
            </w:pPr>
            <w:r>
              <w:rPr/>
              <w:t>Class A ordinary shares, $0.0008 par value; 62,500,000 shares authorized; 5,642,911 shares issued and outstanding as of June 30, 2026; 6,062,184 shares issued and outstanding as of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5</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938" w:type="dxa"/>
            <w:tcBorders/>
            <w:shd w:fill="FFFFFF" w:val="clear"/>
            <w:vAlign w:val="center"/>
          </w:tcPr>
          <w:p>
            <w:pPr>
              <w:pStyle w:val="TableContents"/>
              <w:bidi w:val="0"/>
              <w:spacing w:before="0" w:after="283"/>
              <w:jc w:val="left"/>
              <w:rPr/>
            </w:pPr>
            <w:r>
              <w:rPr/>
              <w:t>Class V ordinary shares, $0.0001 par value; 1 share authorized, issued and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938" w:type="dxa"/>
            <w:tcBorders/>
            <w:shd w:fill="CCEEFF" w:val="clear"/>
            <w:vAlign w:val="center"/>
          </w:tcPr>
          <w:p>
            <w:pPr>
              <w:pStyle w:val="TableContents"/>
              <w:bidi w:val="0"/>
              <w:spacing w:before="0" w:after="283"/>
              <w:jc w:val="left"/>
              <w:rPr/>
            </w:pPr>
            <w:r>
              <w:rPr/>
              <w:t>Net shareholders’ investment and 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28,277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29,115</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938" w:type="dxa"/>
            <w:tcBorders/>
            <w:shd w:fill="FFFFFF" w:val="clear"/>
            <w:vAlign w:val="center"/>
          </w:tcPr>
          <w:p>
            <w:pPr>
              <w:pStyle w:val="TableContents"/>
              <w:bidi w:val="0"/>
              <w:spacing w:before="0" w:after="283"/>
              <w:jc w:val="left"/>
              <w:rPr/>
            </w:pPr>
            <w:r>
              <w:rPr/>
              <w:t>Less: Common Stock held in treasury at cost; 431,688 shares as on June 30, 2026 and 374,744 shares as on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(1,304</w:t>
            </w:r>
          </w:p>
        </w:tc>
        <w:tc>
          <w:tcPr>
            <w:tcW w:w="87" w:type="dxa"/>
            <w:tcBorders/>
            <w:shd w:fill="FFFFFF" w:val="clear"/>
            <w:vAlign w:val="center"/>
          </w:tcPr>
          <w:p>
            <w:pPr>
              <w:pStyle w:val="TableContents"/>
              <w:bidi w:val="0"/>
              <w:spacing w:before="0" w:after="283"/>
              <w:ind w:left="0" w:right="0" w:hanging="180"/>
              <w:jc w:val="left"/>
              <w:rPr/>
            </w:pPr>
            <w:r>
              <w:rPr/>
              <w:t>)</w:t>
            </w:r>
          </w:p>
        </w:tc>
      </w:tr>
      <w:tr>
        <w:trPr/>
        <w:tc>
          <w:tcPr>
            <w:tcW w:w="7938"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(1,977</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7938"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(27,091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(28,873</w:t>
            </w:r>
          </w:p>
        </w:tc>
        <w:tc>
          <w:tcPr>
            <w:tcW w:w="87" w:type="dxa"/>
            <w:tcBorders/>
            <w:shd w:fill="FFFFFF" w:val="clear"/>
            <w:vAlign w:val="center"/>
          </w:tcPr>
          <w:p>
            <w:pPr>
              <w:pStyle w:val="TableContents"/>
              <w:bidi w:val="0"/>
              <w:spacing w:before="0" w:after="283"/>
              <w:ind w:left="0" w:right="0" w:hanging="180"/>
              <w:jc w:val="left"/>
              <w:rPr/>
            </w:pPr>
            <w:r>
              <w:rPr/>
              <w:t>)</w:t>
            </w:r>
          </w:p>
        </w:tc>
      </w:tr>
      <w:tr>
        <w:trPr/>
        <w:tc>
          <w:tcPr>
            <w:tcW w:w="7938" w:type="dxa"/>
            <w:tcBorders/>
            <w:shd w:fill="CCEEFF" w:val="clear"/>
            <w:vAlign w:val="center"/>
          </w:tcPr>
          <w:p>
            <w:pPr>
              <w:pStyle w:val="TableContents"/>
              <w:bidi w:val="0"/>
              <w:spacing w:before="0" w:after="283"/>
              <w:jc w:val="left"/>
              <w:rPr>
                <w:b/>
              </w:rPr>
            </w:pPr>
            <w:r>
              <w:rPr>
                <w:b/>
              </w:rPr>
              <w:t>Total Aeries Technology, Inc. shareholders’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(2,799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(3,034</w:t>
            </w:r>
          </w:p>
        </w:tc>
        <w:tc>
          <w:tcPr>
            <w:tcW w:w="87" w:type="dxa"/>
            <w:tcBorders/>
            <w:shd w:fill="CCEEFF" w:val="clear"/>
            <w:vAlign w:val="center"/>
          </w:tcPr>
          <w:p>
            <w:pPr>
              <w:pStyle w:val="TableContents"/>
              <w:bidi w:val="0"/>
              <w:spacing w:before="0" w:after="283"/>
              <w:ind w:left="0" w:right="0" w:hanging="180"/>
              <w:jc w:val="left"/>
              <w:rPr>
                <w:b/>
              </w:rPr>
            </w:pPr>
            <w:r>
              <w:rPr>
                <w:b/>
              </w:rPr>
              <w:t>)</w:t>
            </w:r>
          </w:p>
        </w:tc>
      </w:tr>
      <w:tr>
        <w:trPr/>
        <w:tc>
          <w:tcPr>
            <w:tcW w:w="7938" w:type="dxa"/>
            <w:tcBorders/>
            <w:shd w:fill="FFFFFF" w:val="clear"/>
            <w:vAlign w:val="center"/>
          </w:tcPr>
          <w:p>
            <w:pPr>
              <w:pStyle w:val="TableContents"/>
              <w:bidi w:val="0"/>
              <w:spacing w:before="0" w:after="283"/>
              <w:jc w:val="left"/>
              <w:rPr/>
            </w:pPr>
            <w:r>
              <w:rPr/>
              <w:t>Noncontrolling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938" w:type="dxa"/>
            <w:tcBorders/>
            <w:shd w:fill="CCEEFF" w:val="clear"/>
            <w:vAlign w:val="center"/>
          </w:tcPr>
          <w:p>
            <w:pPr>
              <w:pStyle w:val="TableContents"/>
              <w:bidi w:val="0"/>
              <w:spacing w:before="0" w:after="283"/>
              <w:jc w:val="left"/>
              <w:rPr>
                <w:b/>
              </w:rPr>
            </w:pPr>
            <w:r>
              <w:rPr>
                <w:b/>
              </w:rPr>
              <w:t>Total shareholders’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(2,629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(3,033</w:t>
            </w:r>
          </w:p>
        </w:tc>
        <w:tc>
          <w:tcPr>
            <w:tcW w:w="87" w:type="dxa"/>
            <w:tcBorders/>
            <w:shd w:fill="CCEEFF" w:val="clear"/>
            <w:vAlign w:val="center"/>
          </w:tcPr>
          <w:p>
            <w:pPr>
              <w:pStyle w:val="TableContents"/>
              <w:bidi w:val="0"/>
              <w:spacing w:before="0" w:after="283"/>
              <w:ind w:left="0" w:right="0" w:hanging="180"/>
              <w:jc w:val="left"/>
              <w:rPr>
                <w:b/>
              </w:rPr>
            </w:pPr>
            <w:r>
              <w:rPr>
                <w:b/>
              </w:rPr>
              <w:t>)</w:t>
            </w:r>
          </w:p>
        </w:tc>
      </w:tr>
      <w:tr>
        <w:trPr/>
        <w:tc>
          <w:tcPr>
            <w:tcW w:w="7938" w:type="dxa"/>
            <w:tcBorders/>
            <w:shd w:fill="FFFFFF" w:val="clear"/>
            <w:vAlign w:val="center"/>
          </w:tcPr>
          <w:p>
            <w:pPr>
              <w:pStyle w:val="TableContents"/>
              <w:bidi w:val="0"/>
              <w:spacing w:before="0" w:after="283"/>
              <w:jc w:val="left"/>
              <w:rPr>
                <w:b/>
              </w:rPr>
            </w:pPr>
            <w:r>
              <w:rPr>
                <w:b/>
              </w:rPr>
              <w:t>Total liabilities, redeemable noncontrolling interest and shareholders’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41,188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41,894</w:t>
            </w:r>
          </w:p>
        </w:tc>
        <w:tc>
          <w:tcPr>
            <w:tcW w:w="87"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333500" cy="161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33500" cy="16192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Aeries Technology, Inc.</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3345</Words>
  <Characters>18944</Characters>
  <CharactersWithSpaces>22556</CharactersWithSpaces>
  <Paragraphs>1336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